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4C8C" w14:textId="77777777" w:rsidR="00C97469" w:rsidRPr="00C97469" w:rsidRDefault="00C97469" w:rsidP="00C97469">
      <w:pPr>
        <w:pStyle w:val="ab"/>
        <w:ind w:right="240"/>
        <w:jc w:val="center"/>
        <w:rPr>
          <w:rFonts w:ascii="標楷體" w:eastAsia="標楷體" w:hAnsi="標楷體"/>
          <w:b/>
          <w:bCs/>
          <w:sz w:val="40"/>
          <w:szCs w:val="40"/>
        </w:rPr>
      </w:pPr>
      <w:r w:rsidRPr="00C97469">
        <w:rPr>
          <w:rFonts w:ascii="標楷體" w:eastAsia="標楷體" w:hAnsi="標楷體" w:hint="eastAsia"/>
          <w:b/>
          <w:bCs/>
          <w:sz w:val="40"/>
          <w:szCs w:val="40"/>
        </w:rPr>
        <w:t>全國工業總會「2025白皮書」部會辦理情形</w:t>
      </w:r>
    </w:p>
    <w:p w14:paraId="36C9DDBF" w14:textId="36824267" w:rsidR="005E5F3E" w:rsidRPr="00A72EB4" w:rsidRDefault="005E5F3E" w:rsidP="00C97469">
      <w:pPr>
        <w:pStyle w:val="ab"/>
        <w:ind w:right="240"/>
        <w:rPr>
          <w:rFonts w:ascii="標楷體" w:eastAsia="標楷體" w:hAnsi="標楷體"/>
          <w:b/>
          <w:bCs/>
          <w:sz w:val="26"/>
          <w:szCs w:val="26"/>
        </w:rPr>
      </w:pPr>
      <w:r w:rsidRPr="00A61DCB">
        <w:rPr>
          <w:rFonts w:ascii="標楷體" w:eastAsia="標楷體" w:hAnsi="標楷體" w:hint="eastAsia"/>
          <w:b/>
          <w:bCs/>
          <w:sz w:val="26"/>
          <w:szCs w:val="26"/>
        </w:rPr>
        <w:t>參、賦稅暨金融</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402"/>
        <w:gridCol w:w="709"/>
        <w:gridCol w:w="9214"/>
        <w:gridCol w:w="1417"/>
      </w:tblGrid>
      <w:tr w:rsidR="005E5F3E" w:rsidRPr="00ED4851" w14:paraId="54CF1D57" w14:textId="77777777" w:rsidTr="00C97469">
        <w:tc>
          <w:tcPr>
            <w:tcW w:w="1418" w:type="dxa"/>
            <w:vAlign w:val="center"/>
            <w:hideMark/>
          </w:tcPr>
          <w:p w14:paraId="794CB017" w14:textId="77777777" w:rsidR="005E5F3E" w:rsidRPr="00ED4851" w:rsidRDefault="005E5F3E" w:rsidP="000F0277">
            <w:pPr>
              <w:kinsoku w:val="0"/>
              <w:overflowPunct w:val="0"/>
              <w:spacing w:line="340" w:lineRule="exact"/>
              <w:jc w:val="center"/>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議題</w:t>
            </w:r>
          </w:p>
        </w:tc>
        <w:tc>
          <w:tcPr>
            <w:tcW w:w="3402" w:type="dxa"/>
            <w:vAlign w:val="center"/>
            <w:hideMark/>
          </w:tcPr>
          <w:p w14:paraId="0E0C5C0B" w14:textId="77777777" w:rsidR="005E5F3E" w:rsidRPr="00ED4851" w:rsidRDefault="005E5F3E" w:rsidP="000F0277">
            <w:pPr>
              <w:kinsoku w:val="0"/>
              <w:overflowPunct w:val="0"/>
              <w:spacing w:line="340" w:lineRule="exact"/>
              <w:jc w:val="center"/>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建議事項</w:t>
            </w:r>
          </w:p>
        </w:tc>
        <w:tc>
          <w:tcPr>
            <w:tcW w:w="709" w:type="dxa"/>
            <w:noWrap/>
            <w:vAlign w:val="center"/>
            <w:hideMark/>
          </w:tcPr>
          <w:p w14:paraId="0B33C4E0" w14:textId="77777777" w:rsidR="005E5F3E" w:rsidRPr="00ED4851" w:rsidRDefault="005E5F3E" w:rsidP="000F0277">
            <w:pPr>
              <w:kinsoku w:val="0"/>
              <w:overflowPunct w:val="0"/>
              <w:spacing w:line="340" w:lineRule="exact"/>
              <w:jc w:val="center"/>
              <w:rPr>
                <w:rFonts w:ascii="Times New Roman" w:eastAsia="標楷體" w:hAnsi="Times New Roman" w:cs="Arial"/>
                <w:b/>
                <w:bCs/>
                <w:color w:val="000000"/>
                <w:kern w:val="0"/>
                <w:sz w:val="26"/>
                <w:szCs w:val="26"/>
              </w:rPr>
            </w:pPr>
            <w:r w:rsidRPr="00ED4851">
              <w:rPr>
                <w:rFonts w:ascii="Times New Roman" w:eastAsia="標楷體" w:hAnsi="Times New Roman" w:cs="Arial" w:hint="eastAsia"/>
                <w:b/>
                <w:bCs/>
                <w:color w:val="000000"/>
                <w:kern w:val="0"/>
                <w:sz w:val="26"/>
                <w:szCs w:val="26"/>
              </w:rPr>
              <w:t>延續議題</w:t>
            </w:r>
          </w:p>
        </w:tc>
        <w:tc>
          <w:tcPr>
            <w:tcW w:w="9214" w:type="dxa"/>
            <w:vAlign w:val="center"/>
            <w:hideMark/>
          </w:tcPr>
          <w:p w14:paraId="5C1485A9" w14:textId="77777777" w:rsidR="005E5F3E" w:rsidRPr="00ED4851" w:rsidRDefault="005E5F3E" w:rsidP="000F0277">
            <w:pPr>
              <w:kinsoku w:val="0"/>
              <w:overflowPunct w:val="0"/>
              <w:spacing w:line="340" w:lineRule="exact"/>
              <w:jc w:val="center"/>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主管單位</w:t>
            </w:r>
            <w:r w:rsidRPr="00ED4851">
              <w:rPr>
                <w:rFonts w:ascii="Times New Roman" w:eastAsia="標楷體" w:hAnsi="Times New Roman" w:cs="Arial" w:hint="eastAsia"/>
                <w:b/>
                <w:bCs/>
                <w:color w:val="000000"/>
                <w:kern w:val="0"/>
                <w:sz w:val="26"/>
                <w:szCs w:val="28"/>
              </w:rPr>
              <w:br/>
            </w:r>
            <w:r w:rsidRPr="00ED4851">
              <w:rPr>
                <w:rFonts w:ascii="Times New Roman" w:eastAsia="標楷體" w:hAnsi="Times New Roman" w:cs="Arial" w:hint="eastAsia"/>
                <w:b/>
                <w:bCs/>
                <w:color w:val="000000"/>
                <w:kern w:val="0"/>
                <w:sz w:val="26"/>
                <w:szCs w:val="28"/>
              </w:rPr>
              <w:t>辦理情形暨未來處理方向</w:t>
            </w:r>
          </w:p>
        </w:tc>
        <w:tc>
          <w:tcPr>
            <w:tcW w:w="1417" w:type="dxa"/>
            <w:noWrap/>
            <w:vAlign w:val="center"/>
            <w:hideMark/>
          </w:tcPr>
          <w:p w14:paraId="1A589EC1" w14:textId="77777777" w:rsidR="005E5F3E" w:rsidRPr="00ED4851" w:rsidRDefault="005E5F3E" w:rsidP="000F0277">
            <w:pPr>
              <w:kinsoku w:val="0"/>
              <w:overflowPunct w:val="0"/>
              <w:spacing w:line="340" w:lineRule="exact"/>
              <w:jc w:val="center"/>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議題參</w:t>
            </w:r>
            <w:proofErr w:type="gramStart"/>
            <w:r w:rsidRPr="00ED4851">
              <w:rPr>
                <w:rFonts w:ascii="Times New Roman" w:eastAsia="標楷體" w:hAnsi="Times New Roman" w:cs="Arial" w:hint="eastAsia"/>
                <w:b/>
                <w:bCs/>
                <w:color w:val="000000"/>
                <w:kern w:val="0"/>
                <w:sz w:val="26"/>
                <w:szCs w:val="28"/>
              </w:rPr>
              <w:t>採</w:t>
            </w:r>
            <w:proofErr w:type="gramEnd"/>
          </w:p>
        </w:tc>
      </w:tr>
      <w:tr w:rsidR="005E5F3E" w:rsidRPr="00ED4851" w14:paraId="7559BA93" w14:textId="77777777" w:rsidTr="00C97469">
        <w:trPr>
          <w:trHeight w:val="727"/>
        </w:trPr>
        <w:tc>
          <w:tcPr>
            <w:tcW w:w="1418" w:type="dxa"/>
            <w:vMerge w:val="restart"/>
            <w:shd w:val="clear" w:color="FFFFFF" w:fill="FFFFFF"/>
            <w:hideMark/>
          </w:tcPr>
          <w:p w14:paraId="28A57A88" w14:textId="77777777" w:rsidR="005E5F3E" w:rsidRPr="00ED4851" w:rsidRDefault="005E5F3E" w:rsidP="000F0277">
            <w:pPr>
              <w:kinsoku w:val="0"/>
              <w:overflowPunct w:val="0"/>
              <w:adjustRightInd w:val="0"/>
              <w:spacing w:line="340" w:lineRule="exact"/>
              <w:ind w:left="521" w:hangingChars="200" w:hanging="521"/>
              <w:jc w:val="both"/>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一、廢止或放寬保留盈餘課稅，鼓勵資本投入與產業升級</w:t>
            </w:r>
          </w:p>
        </w:tc>
        <w:tc>
          <w:tcPr>
            <w:tcW w:w="3402" w:type="dxa"/>
            <w:hideMark/>
          </w:tcPr>
          <w:p w14:paraId="6F5A8AC5"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proofErr w:type="gramStart"/>
            <w:r w:rsidRPr="007D7972">
              <w:rPr>
                <w:rFonts w:ascii="Times New Roman" w:eastAsia="標楷體" w:hAnsi="Times New Roman" w:cs="Arial"/>
                <w:b/>
                <w:bCs/>
                <w:color w:val="000000"/>
                <w:kern w:val="0"/>
                <w:sz w:val="26"/>
                <w:szCs w:val="28"/>
              </w:rPr>
              <w:t>一</w:t>
            </w:r>
            <w:proofErr w:type="gramEnd"/>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建請廢除未分配盈餘課稅，以免影響企業資本累積及轉型升級。</w:t>
            </w:r>
          </w:p>
        </w:tc>
        <w:tc>
          <w:tcPr>
            <w:tcW w:w="709" w:type="dxa"/>
            <w:hideMark/>
          </w:tcPr>
          <w:p w14:paraId="7F8A9FD3"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04225007" w14:textId="77777777" w:rsidR="005E5F3E" w:rsidRPr="00F41A53"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F41A53">
              <w:rPr>
                <w:rFonts w:ascii="Times New Roman" w:eastAsia="標楷體" w:hAnsi="Times New Roman" w:cs="Arial" w:hint="eastAsia"/>
                <w:b/>
                <w:bCs/>
                <w:color w:val="000000"/>
                <w:kern w:val="0"/>
                <w:sz w:val="26"/>
                <w:szCs w:val="28"/>
              </w:rPr>
              <w:t>財政部</w:t>
            </w:r>
          </w:p>
          <w:p w14:paraId="3364BF16" w14:textId="77777777" w:rsidR="005E5F3E" w:rsidRDefault="005E5F3E" w:rsidP="00C97469">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3B037EB7" w14:textId="77777777" w:rsidR="005E5F3E" w:rsidRPr="00F41A53" w:rsidRDefault="005E5F3E" w:rsidP="00C97469">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2018</w:t>
            </w:r>
            <w:r w:rsidRPr="00F41A53">
              <w:rPr>
                <w:rFonts w:ascii="Times New Roman" w:eastAsia="標楷體" w:hAnsi="Times New Roman" w:cs="Arial" w:hint="eastAsia"/>
                <w:color w:val="000000"/>
                <w:kern w:val="0"/>
                <w:sz w:val="26"/>
                <w:szCs w:val="26"/>
              </w:rPr>
              <w:t>年已大幅調降未分配盈餘加徵稅率，並提供實質投資得免徵未分配盈餘稅優惠措施</w:t>
            </w:r>
          </w:p>
          <w:p w14:paraId="10211683" w14:textId="77777777" w:rsidR="005E5F3E" w:rsidRPr="00F41A53"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A.</w:t>
            </w:r>
            <w:r w:rsidRPr="00F41A53">
              <w:rPr>
                <w:rFonts w:ascii="Times New Roman" w:eastAsia="標楷體" w:hAnsi="Times New Roman" w:cs="Arial" w:hint="eastAsia"/>
                <w:color w:val="000000"/>
                <w:kern w:val="0"/>
                <w:sz w:val="26"/>
                <w:szCs w:val="26"/>
              </w:rPr>
              <w:t>我國自</w:t>
            </w:r>
            <w:r w:rsidRPr="00F41A53">
              <w:rPr>
                <w:rFonts w:ascii="Times New Roman" w:eastAsia="標楷體" w:hAnsi="Times New Roman" w:cs="Arial" w:hint="eastAsia"/>
                <w:color w:val="000000"/>
                <w:kern w:val="0"/>
                <w:sz w:val="26"/>
                <w:szCs w:val="26"/>
              </w:rPr>
              <w:t>2018</w:t>
            </w:r>
            <w:r w:rsidRPr="00F41A53">
              <w:rPr>
                <w:rFonts w:ascii="Times New Roman" w:eastAsia="標楷體" w:hAnsi="Times New Roman" w:cs="Arial" w:hint="eastAsia"/>
                <w:color w:val="000000"/>
                <w:kern w:val="0"/>
                <w:sz w:val="26"/>
                <w:szCs w:val="26"/>
              </w:rPr>
              <w:t>年起實施所得稅制優化方案，未分配盈餘加徵營所稅稅率由</w:t>
            </w:r>
            <w:r w:rsidRPr="00F41A53">
              <w:rPr>
                <w:rFonts w:ascii="Times New Roman" w:eastAsia="標楷體" w:hAnsi="Times New Roman" w:cs="Arial" w:hint="eastAsia"/>
                <w:color w:val="000000"/>
                <w:kern w:val="0"/>
                <w:sz w:val="26"/>
                <w:szCs w:val="26"/>
              </w:rPr>
              <w:t>10%</w:t>
            </w:r>
            <w:r w:rsidRPr="00F41A53">
              <w:rPr>
                <w:rFonts w:ascii="Times New Roman" w:eastAsia="標楷體" w:hAnsi="Times New Roman" w:cs="Arial" w:hint="eastAsia"/>
                <w:color w:val="000000"/>
                <w:kern w:val="0"/>
                <w:sz w:val="26"/>
                <w:szCs w:val="26"/>
              </w:rPr>
              <w:t>調降至</w:t>
            </w:r>
            <w:r w:rsidRPr="00F41A53">
              <w:rPr>
                <w:rFonts w:ascii="Times New Roman" w:eastAsia="標楷體" w:hAnsi="Times New Roman" w:cs="Arial" w:hint="eastAsia"/>
                <w:color w:val="000000"/>
                <w:kern w:val="0"/>
                <w:sz w:val="26"/>
                <w:szCs w:val="26"/>
              </w:rPr>
              <w:t>5%</w:t>
            </w:r>
            <w:r w:rsidRPr="00F41A53">
              <w:rPr>
                <w:rFonts w:ascii="Times New Roman" w:eastAsia="標楷體" w:hAnsi="Times New Roman" w:cs="Arial" w:hint="eastAsia"/>
                <w:color w:val="000000"/>
                <w:kern w:val="0"/>
                <w:sz w:val="26"/>
                <w:szCs w:val="26"/>
              </w:rPr>
              <w:t>，已減輕企業保留盈餘不分配稅負，以兼顧企業累積自有投資資金需要。</w:t>
            </w:r>
          </w:p>
          <w:p w14:paraId="606965DF" w14:textId="77777777" w:rsidR="005E5F3E" w:rsidRPr="00F41A53"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B.</w:t>
            </w:r>
            <w:r w:rsidRPr="00F41A53">
              <w:rPr>
                <w:rFonts w:ascii="Times New Roman" w:eastAsia="標楷體" w:hAnsi="Times New Roman" w:cs="Arial" w:hint="eastAsia"/>
                <w:color w:val="000000"/>
                <w:kern w:val="0"/>
                <w:sz w:val="26"/>
                <w:szCs w:val="26"/>
              </w:rPr>
              <w:t>為鼓勵營利事業以未分配盈餘進行投資，</w:t>
            </w:r>
            <w:proofErr w:type="gramStart"/>
            <w:r w:rsidRPr="00F41A53">
              <w:rPr>
                <w:rFonts w:ascii="Times New Roman" w:eastAsia="標楷體" w:hAnsi="Times New Roman" w:cs="Arial" w:hint="eastAsia"/>
                <w:color w:val="000000"/>
                <w:kern w:val="0"/>
                <w:sz w:val="26"/>
                <w:szCs w:val="26"/>
              </w:rPr>
              <w:t>產創條例</w:t>
            </w:r>
            <w:proofErr w:type="gramEnd"/>
            <w:r w:rsidRPr="00F41A53">
              <w:rPr>
                <w:rFonts w:ascii="Times New Roman" w:eastAsia="標楷體" w:hAnsi="Times New Roman" w:cs="Arial" w:hint="eastAsia"/>
                <w:color w:val="000000"/>
                <w:kern w:val="0"/>
                <w:sz w:val="26"/>
                <w:szCs w:val="26"/>
              </w:rPr>
              <w:t>第</w:t>
            </w:r>
            <w:r w:rsidRPr="00F41A53">
              <w:rPr>
                <w:rFonts w:ascii="Times New Roman" w:eastAsia="標楷體" w:hAnsi="Times New Roman" w:cs="Arial" w:hint="eastAsia"/>
                <w:color w:val="000000"/>
                <w:kern w:val="0"/>
                <w:sz w:val="26"/>
                <w:szCs w:val="26"/>
              </w:rPr>
              <w:t>23</w:t>
            </w:r>
            <w:r w:rsidRPr="00F41A53">
              <w:rPr>
                <w:rFonts w:ascii="Times New Roman" w:eastAsia="標楷體" w:hAnsi="Times New Roman" w:cs="Arial" w:hint="eastAsia"/>
                <w:color w:val="000000"/>
                <w:kern w:val="0"/>
                <w:sz w:val="26"/>
                <w:szCs w:val="26"/>
              </w:rPr>
              <w:t>條之</w:t>
            </w:r>
            <w:r w:rsidRPr="00F41A53">
              <w:rPr>
                <w:rFonts w:ascii="Times New Roman" w:eastAsia="標楷體" w:hAnsi="Times New Roman" w:cs="Arial" w:hint="eastAsia"/>
                <w:color w:val="000000"/>
                <w:kern w:val="0"/>
                <w:sz w:val="26"/>
                <w:szCs w:val="26"/>
              </w:rPr>
              <w:t>3</w:t>
            </w:r>
            <w:r w:rsidRPr="00F41A53">
              <w:rPr>
                <w:rFonts w:ascii="Times New Roman" w:eastAsia="標楷體" w:hAnsi="Times New Roman" w:cs="Arial" w:hint="eastAsia"/>
                <w:color w:val="000000"/>
                <w:kern w:val="0"/>
                <w:sz w:val="26"/>
                <w:szCs w:val="26"/>
              </w:rPr>
              <w:t>規定，營利事業以當年度盈餘於次年起</w:t>
            </w:r>
            <w:r w:rsidRPr="00F41A53">
              <w:rPr>
                <w:rFonts w:ascii="Times New Roman" w:eastAsia="標楷體" w:hAnsi="Times New Roman" w:cs="Arial" w:hint="eastAsia"/>
                <w:color w:val="000000"/>
                <w:kern w:val="0"/>
                <w:sz w:val="26"/>
                <w:szCs w:val="26"/>
              </w:rPr>
              <w:t>3</w:t>
            </w:r>
            <w:r w:rsidRPr="00F41A53">
              <w:rPr>
                <w:rFonts w:ascii="Times New Roman" w:eastAsia="標楷體" w:hAnsi="Times New Roman" w:cs="Arial" w:hint="eastAsia"/>
                <w:color w:val="000000"/>
                <w:kern w:val="0"/>
                <w:sz w:val="26"/>
                <w:szCs w:val="26"/>
              </w:rPr>
              <w:t>年內興建或購置供自行生產或營業用建築物、軟硬體設備或技術等支出，得列為當年度未分配盈餘減除項目</w:t>
            </w:r>
            <w:r w:rsidRPr="00BC4C96">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即加徵稅率可由</w:t>
            </w:r>
            <w:r w:rsidRPr="00F41A53">
              <w:rPr>
                <w:rFonts w:ascii="Times New Roman" w:eastAsia="標楷體" w:hAnsi="Times New Roman" w:cs="Arial" w:hint="eastAsia"/>
                <w:color w:val="000000"/>
                <w:kern w:val="0"/>
                <w:sz w:val="26"/>
                <w:szCs w:val="26"/>
              </w:rPr>
              <w:t>5%</w:t>
            </w:r>
            <w:r w:rsidRPr="00F41A53">
              <w:rPr>
                <w:rFonts w:ascii="Times New Roman" w:eastAsia="標楷體" w:hAnsi="Times New Roman" w:cs="Arial" w:hint="eastAsia"/>
                <w:color w:val="000000"/>
                <w:kern w:val="0"/>
                <w:sz w:val="26"/>
                <w:szCs w:val="26"/>
              </w:rPr>
              <w:t>再減輕至</w:t>
            </w:r>
            <w:r w:rsidRPr="00F41A53">
              <w:rPr>
                <w:rFonts w:ascii="Times New Roman" w:eastAsia="標楷體" w:hAnsi="Times New Roman" w:cs="Arial" w:hint="eastAsia"/>
                <w:color w:val="000000"/>
                <w:kern w:val="0"/>
                <w:sz w:val="26"/>
                <w:szCs w:val="26"/>
              </w:rPr>
              <w:t>0%</w:t>
            </w:r>
            <w:r w:rsidRPr="00BC4C96">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，已兼顧企業投資資金需求及協助企業轉型升級等目的。</w:t>
            </w:r>
          </w:p>
          <w:p w14:paraId="46760463" w14:textId="77777777" w:rsidR="005E5F3E" w:rsidRPr="00F41A53" w:rsidRDefault="005E5F3E" w:rsidP="00C97469">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未分配盈餘加徵營所稅具有減緩稅基流失及維護租稅公平立法目的</w:t>
            </w:r>
          </w:p>
          <w:p w14:paraId="389324C7" w14:textId="77777777" w:rsidR="005E5F3E" w:rsidRPr="00265816"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A.</w:t>
            </w:r>
            <w:r w:rsidRPr="00F41A53">
              <w:rPr>
                <w:rFonts w:ascii="Times New Roman" w:eastAsia="標楷體" w:hAnsi="Times New Roman" w:cs="Arial" w:hint="eastAsia"/>
                <w:color w:val="000000"/>
                <w:kern w:val="0"/>
                <w:sz w:val="26"/>
                <w:szCs w:val="26"/>
              </w:rPr>
              <w:t>未分配盈餘加徵營所稅立法意旨，係為縮小營利事業保留盈餘或分配盈餘予股東之所得稅稅負差距，以高所得個人股東說明如下：</w:t>
            </w:r>
          </w:p>
          <w:p w14:paraId="7FF6C5D3" w14:textId="77777777" w:rsidR="005E5F3E" w:rsidRDefault="005E5F3E"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0722AD">
              <w:rPr>
                <w:rFonts w:ascii="Times New Roman" w:eastAsia="標楷體" w:hAnsi="Times New Roman" w:cs="Arial" w:hint="eastAsia"/>
                <w:color w:val="000000"/>
                <w:kern w:val="0"/>
                <w:sz w:val="26"/>
                <w:szCs w:val="26"/>
              </w:rPr>
              <w:t xml:space="preserve">    </w:t>
            </w:r>
            <w:r w:rsidRPr="00F41A53">
              <w:rPr>
                <w:rFonts w:ascii="Times New Roman" w:eastAsia="標楷體" w:hAnsi="Times New Roman" w:cs="Arial" w:hint="eastAsia"/>
                <w:color w:val="000000"/>
                <w:kern w:val="0"/>
                <w:sz w:val="26"/>
                <w:szCs w:val="26"/>
              </w:rPr>
              <w:t>a.</w:t>
            </w:r>
            <w:r w:rsidRPr="00F41A53">
              <w:rPr>
                <w:rFonts w:ascii="Times New Roman" w:eastAsia="標楷體" w:hAnsi="Times New Roman" w:cs="Arial" w:hint="eastAsia"/>
                <w:color w:val="000000"/>
                <w:kern w:val="0"/>
                <w:sz w:val="26"/>
                <w:szCs w:val="26"/>
              </w:rPr>
              <w:t>營利事業之所得未享有免稅優惠情形</w:t>
            </w:r>
          </w:p>
          <w:p w14:paraId="39102032" w14:textId="77777777" w:rsidR="005E5F3E" w:rsidRPr="00F41A53" w:rsidRDefault="005E5F3E"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營利事業保留盈餘之營所稅稅負</w:t>
            </w:r>
            <w:r w:rsidRPr="00F41A53">
              <w:rPr>
                <w:rFonts w:ascii="Times New Roman" w:eastAsia="標楷體" w:hAnsi="Times New Roman" w:cs="Arial" w:hint="eastAsia"/>
                <w:color w:val="000000"/>
                <w:kern w:val="0"/>
                <w:sz w:val="26"/>
                <w:szCs w:val="26"/>
              </w:rPr>
              <w:t>24%</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=20%+(1-20%)</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5%</w:t>
            </w:r>
            <w:r w:rsidRPr="00F41A53">
              <w:rPr>
                <w:rFonts w:ascii="Times New Roman" w:eastAsia="標楷體" w:hAnsi="Times New Roman" w:cs="Arial" w:hint="eastAsia"/>
                <w:color w:val="000000"/>
                <w:kern w:val="0"/>
                <w:sz w:val="26"/>
                <w:szCs w:val="26"/>
              </w:rPr>
              <w:t>】，與分配股利之營所稅與綜合所得稅</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下稱綜所稅</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兩階段最高總稅負</w:t>
            </w:r>
            <w:r w:rsidRPr="00F41A53">
              <w:rPr>
                <w:rFonts w:ascii="Times New Roman" w:eastAsia="標楷體" w:hAnsi="Times New Roman" w:cs="Arial" w:hint="eastAsia"/>
                <w:color w:val="000000"/>
                <w:kern w:val="0"/>
                <w:sz w:val="26"/>
                <w:szCs w:val="26"/>
              </w:rPr>
              <w:t>42.4%</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=20%+(1-20%)</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28%</w:t>
            </w:r>
            <w:r w:rsidRPr="00F41A53">
              <w:rPr>
                <w:rFonts w:ascii="Times New Roman" w:eastAsia="標楷體" w:hAnsi="Times New Roman" w:cs="Arial" w:hint="eastAsia"/>
                <w:color w:val="000000"/>
                <w:kern w:val="0"/>
                <w:sz w:val="26"/>
                <w:szCs w:val="26"/>
              </w:rPr>
              <w:t>】，存在</w:t>
            </w:r>
            <w:r w:rsidRPr="00F41A53">
              <w:rPr>
                <w:rFonts w:ascii="Times New Roman" w:eastAsia="標楷體" w:hAnsi="Times New Roman" w:cs="Arial" w:hint="eastAsia"/>
                <w:color w:val="000000"/>
                <w:kern w:val="0"/>
                <w:sz w:val="26"/>
                <w:szCs w:val="26"/>
              </w:rPr>
              <w:t>18.4</w:t>
            </w:r>
            <w:r w:rsidRPr="00F41A53">
              <w:rPr>
                <w:rFonts w:ascii="Times New Roman" w:eastAsia="標楷體" w:hAnsi="Times New Roman" w:cs="Arial" w:hint="eastAsia"/>
                <w:color w:val="000000"/>
                <w:kern w:val="0"/>
                <w:sz w:val="26"/>
                <w:szCs w:val="26"/>
              </w:rPr>
              <w:t>個百分點</w:t>
            </w:r>
            <w:r w:rsidRPr="00F41A53">
              <w:rPr>
                <w:rFonts w:ascii="Times New Roman" w:eastAsia="標楷體" w:hAnsi="Times New Roman" w:cs="Arial" w:hint="eastAsia"/>
                <w:color w:val="000000"/>
                <w:kern w:val="0"/>
                <w:sz w:val="26"/>
                <w:szCs w:val="26"/>
              </w:rPr>
              <w:t>(=42.4%-24%)</w:t>
            </w:r>
            <w:r w:rsidRPr="00F41A53">
              <w:rPr>
                <w:rFonts w:ascii="Times New Roman" w:eastAsia="標楷體" w:hAnsi="Times New Roman" w:cs="Arial" w:hint="eastAsia"/>
                <w:color w:val="000000"/>
                <w:kern w:val="0"/>
                <w:sz w:val="26"/>
                <w:szCs w:val="26"/>
              </w:rPr>
              <w:t>差距，倘取消未分配盈餘加徵營所稅規定，差距將擴大為</w:t>
            </w:r>
            <w:r w:rsidRPr="00F41A53">
              <w:rPr>
                <w:rFonts w:ascii="Times New Roman" w:eastAsia="標楷體" w:hAnsi="Times New Roman" w:cs="Arial" w:hint="eastAsia"/>
                <w:color w:val="000000"/>
                <w:kern w:val="0"/>
                <w:sz w:val="26"/>
                <w:szCs w:val="26"/>
              </w:rPr>
              <w:t>22.4</w:t>
            </w:r>
            <w:r w:rsidRPr="00F41A53">
              <w:rPr>
                <w:rFonts w:ascii="Times New Roman" w:eastAsia="標楷體" w:hAnsi="Times New Roman" w:cs="Arial" w:hint="eastAsia"/>
                <w:color w:val="000000"/>
                <w:kern w:val="0"/>
                <w:sz w:val="26"/>
                <w:szCs w:val="26"/>
              </w:rPr>
              <w:t>個百分點</w:t>
            </w:r>
            <w:r w:rsidRPr="00F41A53">
              <w:rPr>
                <w:rFonts w:ascii="Times New Roman" w:eastAsia="標楷體" w:hAnsi="Times New Roman" w:cs="Arial" w:hint="eastAsia"/>
                <w:color w:val="000000"/>
                <w:kern w:val="0"/>
                <w:sz w:val="26"/>
                <w:szCs w:val="26"/>
              </w:rPr>
              <w:t>(=42.4%-20%)</w:t>
            </w:r>
            <w:r w:rsidRPr="00F41A53">
              <w:rPr>
                <w:rFonts w:ascii="Times New Roman" w:eastAsia="標楷體" w:hAnsi="Times New Roman" w:cs="Arial" w:hint="eastAsia"/>
                <w:color w:val="000000"/>
                <w:kern w:val="0"/>
                <w:sz w:val="26"/>
                <w:szCs w:val="26"/>
              </w:rPr>
              <w:t>。</w:t>
            </w:r>
          </w:p>
          <w:p w14:paraId="3AAFF169" w14:textId="77777777" w:rsidR="005E5F3E" w:rsidRDefault="005E5F3E"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 xml:space="preserve">    b.</w:t>
            </w:r>
            <w:r w:rsidRPr="00F41A53">
              <w:rPr>
                <w:rFonts w:ascii="Times New Roman" w:eastAsia="標楷體" w:hAnsi="Times New Roman" w:cs="Arial" w:hint="eastAsia"/>
                <w:color w:val="000000"/>
                <w:kern w:val="0"/>
                <w:sz w:val="26"/>
                <w:szCs w:val="26"/>
              </w:rPr>
              <w:t>營利事業所得如享有免稅優惠</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如證券交易所得等</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情形</w:t>
            </w:r>
          </w:p>
          <w:p w14:paraId="0ACD1B6B" w14:textId="77777777" w:rsidR="005E5F3E" w:rsidRPr="00F41A53" w:rsidRDefault="005E5F3E"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依所得基本稅額條例課徵最低稅負</w:t>
            </w:r>
            <w:r w:rsidRPr="00F41A53">
              <w:rPr>
                <w:rFonts w:ascii="Times New Roman" w:eastAsia="標楷體" w:hAnsi="Times New Roman" w:cs="Arial" w:hint="eastAsia"/>
                <w:color w:val="000000"/>
                <w:kern w:val="0"/>
                <w:sz w:val="26"/>
                <w:szCs w:val="26"/>
              </w:rPr>
              <w:t>(AMT)</w:t>
            </w:r>
            <w:r w:rsidRPr="00F41A53">
              <w:rPr>
                <w:rFonts w:ascii="Times New Roman" w:eastAsia="標楷體" w:hAnsi="Times New Roman" w:cs="Arial" w:hint="eastAsia"/>
                <w:color w:val="000000"/>
                <w:kern w:val="0"/>
                <w:sz w:val="26"/>
                <w:szCs w:val="26"/>
              </w:rPr>
              <w:t>，營利事業保留盈餘稅負將進一步降低為</w:t>
            </w:r>
            <w:r w:rsidRPr="00F41A53">
              <w:rPr>
                <w:rFonts w:ascii="Times New Roman" w:eastAsia="標楷體" w:hAnsi="Times New Roman" w:cs="Arial" w:hint="eastAsia"/>
                <w:color w:val="000000"/>
                <w:kern w:val="0"/>
                <w:sz w:val="26"/>
                <w:szCs w:val="26"/>
              </w:rPr>
              <w:t>16.4%</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=12%+(1-12%)</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5%</w:t>
            </w:r>
            <w:r w:rsidRPr="00F41A53">
              <w:rPr>
                <w:rFonts w:ascii="Times New Roman" w:eastAsia="標楷體" w:hAnsi="Times New Roman" w:cs="Arial" w:hint="eastAsia"/>
                <w:color w:val="000000"/>
                <w:kern w:val="0"/>
                <w:sz w:val="26"/>
                <w:szCs w:val="26"/>
              </w:rPr>
              <w:t>】，與分配股利之營所稅與綜所稅兩階段總稅負</w:t>
            </w:r>
            <w:r w:rsidRPr="00F41A53">
              <w:rPr>
                <w:rFonts w:ascii="Times New Roman" w:eastAsia="標楷體" w:hAnsi="Times New Roman" w:cs="Arial" w:hint="eastAsia"/>
                <w:color w:val="000000"/>
                <w:kern w:val="0"/>
                <w:sz w:val="26"/>
                <w:szCs w:val="26"/>
              </w:rPr>
              <w:t>36.64%</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=12%+(1-12%)</w:t>
            </w:r>
            <w:r w:rsidRPr="00F41A53">
              <w:rPr>
                <w:rFonts w:ascii="Times New Roman" w:eastAsia="標楷體" w:hAnsi="Times New Roman" w:cs="Arial" w:hint="eastAsia"/>
                <w:color w:val="000000"/>
                <w:kern w:val="0"/>
                <w:sz w:val="26"/>
                <w:szCs w:val="26"/>
              </w:rPr>
              <w:t>×</w:t>
            </w:r>
            <w:r w:rsidRPr="00F41A53">
              <w:rPr>
                <w:rFonts w:ascii="Times New Roman" w:eastAsia="標楷體" w:hAnsi="Times New Roman" w:cs="Arial" w:hint="eastAsia"/>
                <w:color w:val="000000"/>
                <w:kern w:val="0"/>
                <w:sz w:val="26"/>
                <w:szCs w:val="26"/>
              </w:rPr>
              <w:t>28%</w:t>
            </w:r>
            <w:r w:rsidRPr="00F41A53">
              <w:rPr>
                <w:rFonts w:ascii="Times New Roman" w:eastAsia="標楷體" w:hAnsi="Times New Roman" w:cs="Arial" w:hint="eastAsia"/>
                <w:color w:val="000000"/>
                <w:kern w:val="0"/>
                <w:sz w:val="26"/>
                <w:szCs w:val="26"/>
              </w:rPr>
              <w:t>】，存在</w:t>
            </w:r>
            <w:r w:rsidRPr="00F41A53">
              <w:rPr>
                <w:rFonts w:ascii="Times New Roman" w:eastAsia="標楷體" w:hAnsi="Times New Roman" w:cs="Arial" w:hint="eastAsia"/>
                <w:color w:val="000000"/>
                <w:kern w:val="0"/>
                <w:sz w:val="26"/>
                <w:szCs w:val="26"/>
              </w:rPr>
              <w:t>20.24</w:t>
            </w:r>
            <w:r w:rsidRPr="00F41A53">
              <w:rPr>
                <w:rFonts w:ascii="Times New Roman" w:eastAsia="標楷體" w:hAnsi="Times New Roman" w:cs="Arial" w:hint="eastAsia"/>
                <w:color w:val="000000"/>
                <w:kern w:val="0"/>
                <w:sz w:val="26"/>
                <w:szCs w:val="26"/>
              </w:rPr>
              <w:t>個百分點</w:t>
            </w:r>
            <w:r w:rsidRPr="00F41A53">
              <w:rPr>
                <w:rFonts w:ascii="Times New Roman" w:eastAsia="標楷體" w:hAnsi="Times New Roman" w:cs="Arial" w:hint="eastAsia"/>
                <w:color w:val="000000"/>
                <w:kern w:val="0"/>
                <w:sz w:val="26"/>
                <w:szCs w:val="26"/>
              </w:rPr>
              <w:t>(=36.64%-16.4%)</w:t>
            </w:r>
            <w:r w:rsidRPr="00F41A53">
              <w:rPr>
                <w:rFonts w:ascii="Times New Roman" w:eastAsia="標楷體" w:hAnsi="Times New Roman" w:cs="Arial" w:hint="eastAsia"/>
                <w:color w:val="000000"/>
                <w:kern w:val="0"/>
                <w:sz w:val="26"/>
                <w:szCs w:val="26"/>
              </w:rPr>
              <w:t>差距，倘取消未分配盈餘加徵營所稅規定，將進一步擴大稅負差距為</w:t>
            </w:r>
            <w:r w:rsidRPr="00F41A53">
              <w:rPr>
                <w:rFonts w:ascii="Times New Roman" w:eastAsia="標楷體" w:hAnsi="Times New Roman" w:cs="Arial" w:hint="eastAsia"/>
                <w:color w:val="000000"/>
                <w:kern w:val="0"/>
                <w:sz w:val="26"/>
                <w:szCs w:val="26"/>
              </w:rPr>
              <w:t>24.64</w:t>
            </w:r>
            <w:r w:rsidRPr="00F41A53">
              <w:rPr>
                <w:rFonts w:ascii="Times New Roman" w:eastAsia="標楷體" w:hAnsi="Times New Roman" w:cs="Arial" w:hint="eastAsia"/>
                <w:color w:val="000000"/>
                <w:kern w:val="0"/>
                <w:sz w:val="26"/>
                <w:szCs w:val="26"/>
              </w:rPr>
              <w:t>個百分點</w:t>
            </w:r>
            <w:r w:rsidRPr="00F41A53">
              <w:rPr>
                <w:rFonts w:ascii="Times New Roman" w:eastAsia="標楷體" w:hAnsi="Times New Roman" w:cs="Arial" w:hint="eastAsia"/>
                <w:color w:val="000000"/>
                <w:kern w:val="0"/>
                <w:sz w:val="26"/>
                <w:szCs w:val="26"/>
              </w:rPr>
              <w:t>(=36.64%-12%)</w:t>
            </w:r>
            <w:r w:rsidRPr="00F41A53">
              <w:rPr>
                <w:rFonts w:ascii="Times New Roman" w:eastAsia="標楷體" w:hAnsi="Times New Roman" w:cs="Arial" w:hint="eastAsia"/>
                <w:color w:val="000000"/>
                <w:kern w:val="0"/>
                <w:sz w:val="26"/>
                <w:szCs w:val="26"/>
              </w:rPr>
              <w:t>。</w:t>
            </w:r>
          </w:p>
          <w:p w14:paraId="79A19C47" w14:textId="77777777" w:rsidR="005E5F3E" w:rsidRPr="00F41A53"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lastRenderedPageBreak/>
              <w:t>B.</w:t>
            </w:r>
            <w:r w:rsidRPr="00F41A53">
              <w:rPr>
                <w:rFonts w:ascii="Times New Roman" w:eastAsia="標楷體" w:hAnsi="Times New Roman" w:cs="Arial" w:hint="eastAsia"/>
                <w:color w:val="000000"/>
                <w:kern w:val="0"/>
                <w:sz w:val="26"/>
                <w:szCs w:val="26"/>
              </w:rPr>
              <w:t>該稅制係一體適用於所有企業，具有降低企業藉保留盈餘不分配為高所得個人股東規避稅負誘因，及透過對保留盈餘中屬減免稅所得部分加徵營所稅方式，減緩稅基流失及維護租稅公平目的。至企業如非為股東避稅而係有實質投資資金需求，可</w:t>
            </w:r>
            <w:proofErr w:type="gramStart"/>
            <w:r w:rsidRPr="00F41A53">
              <w:rPr>
                <w:rFonts w:ascii="Times New Roman" w:eastAsia="標楷體" w:hAnsi="Times New Roman" w:cs="Arial" w:hint="eastAsia"/>
                <w:color w:val="000000"/>
                <w:kern w:val="0"/>
                <w:sz w:val="26"/>
                <w:szCs w:val="26"/>
              </w:rPr>
              <w:t>適用產創條例</w:t>
            </w:r>
            <w:proofErr w:type="gramEnd"/>
            <w:r w:rsidRPr="00F41A53">
              <w:rPr>
                <w:rFonts w:ascii="Times New Roman" w:eastAsia="標楷體" w:hAnsi="Times New Roman" w:cs="Arial" w:hint="eastAsia"/>
                <w:color w:val="000000"/>
                <w:kern w:val="0"/>
                <w:sz w:val="26"/>
                <w:szCs w:val="26"/>
              </w:rPr>
              <w:t>第</w:t>
            </w:r>
            <w:r w:rsidRPr="00F41A53">
              <w:rPr>
                <w:rFonts w:ascii="Times New Roman" w:eastAsia="標楷體" w:hAnsi="Times New Roman" w:cs="Arial" w:hint="eastAsia"/>
                <w:color w:val="000000"/>
                <w:kern w:val="0"/>
                <w:sz w:val="26"/>
                <w:szCs w:val="26"/>
              </w:rPr>
              <w:t>23</w:t>
            </w:r>
            <w:r w:rsidRPr="00F41A53">
              <w:rPr>
                <w:rFonts w:ascii="Times New Roman" w:eastAsia="標楷體" w:hAnsi="Times New Roman" w:cs="Arial" w:hint="eastAsia"/>
                <w:color w:val="000000"/>
                <w:kern w:val="0"/>
                <w:sz w:val="26"/>
                <w:szCs w:val="26"/>
              </w:rPr>
              <w:t>條之</w:t>
            </w:r>
            <w:r w:rsidRPr="00F41A53">
              <w:rPr>
                <w:rFonts w:ascii="Times New Roman" w:eastAsia="標楷體" w:hAnsi="Times New Roman" w:cs="Arial" w:hint="eastAsia"/>
                <w:color w:val="000000"/>
                <w:kern w:val="0"/>
                <w:sz w:val="26"/>
                <w:szCs w:val="26"/>
              </w:rPr>
              <w:t>3</w:t>
            </w:r>
            <w:r w:rsidRPr="00F41A53">
              <w:rPr>
                <w:rFonts w:ascii="Times New Roman" w:eastAsia="標楷體" w:hAnsi="Times New Roman" w:cs="Arial" w:hint="eastAsia"/>
                <w:color w:val="000000"/>
                <w:kern w:val="0"/>
                <w:sz w:val="26"/>
                <w:szCs w:val="26"/>
              </w:rPr>
              <w:t>規定，減少未分配盈餘稅負。</w:t>
            </w:r>
          </w:p>
          <w:p w14:paraId="47F549C7" w14:textId="77777777" w:rsidR="005E5F3E" w:rsidRDefault="005E5F3E" w:rsidP="00C97469">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廢除未分配盈餘加徵營所稅影響政府財源及各項施政</w:t>
            </w:r>
          </w:p>
          <w:p w14:paraId="281C260B" w14:textId="77777777" w:rsidR="005E5F3E" w:rsidRPr="003C3FC4"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C3FC4">
              <w:rPr>
                <w:rFonts w:ascii="Times New Roman" w:eastAsia="標楷體" w:hAnsi="Times New Roman" w:cs="Arial" w:hint="eastAsia"/>
                <w:color w:val="000000"/>
                <w:kern w:val="0"/>
                <w:sz w:val="26"/>
                <w:szCs w:val="26"/>
              </w:rPr>
              <w:t>2021</w:t>
            </w:r>
            <w:r w:rsidRPr="003C3FC4">
              <w:rPr>
                <w:rFonts w:ascii="Times New Roman" w:eastAsia="標楷體" w:hAnsi="Times New Roman" w:cs="Arial" w:hint="eastAsia"/>
                <w:color w:val="000000"/>
                <w:kern w:val="0"/>
                <w:sz w:val="26"/>
                <w:szCs w:val="26"/>
              </w:rPr>
              <w:t>年度至</w:t>
            </w:r>
            <w:r w:rsidRPr="003C3FC4">
              <w:rPr>
                <w:rFonts w:ascii="Times New Roman" w:eastAsia="標楷體" w:hAnsi="Times New Roman" w:cs="Arial" w:hint="eastAsia"/>
                <w:color w:val="000000"/>
                <w:kern w:val="0"/>
                <w:sz w:val="26"/>
                <w:szCs w:val="26"/>
              </w:rPr>
              <w:t>2023</w:t>
            </w:r>
            <w:r w:rsidRPr="003C3FC4">
              <w:rPr>
                <w:rFonts w:ascii="Times New Roman" w:eastAsia="標楷體" w:hAnsi="Times New Roman" w:cs="Arial" w:hint="eastAsia"/>
                <w:color w:val="000000"/>
                <w:kern w:val="0"/>
                <w:sz w:val="26"/>
                <w:szCs w:val="26"/>
              </w:rPr>
              <w:t>年度未分配盈餘加徵營所稅稅收每年平均</w:t>
            </w:r>
            <w:r w:rsidRPr="003C3FC4">
              <w:rPr>
                <w:rFonts w:ascii="Times New Roman" w:eastAsia="標楷體" w:hAnsi="Times New Roman" w:cs="Arial" w:hint="eastAsia"/>
                <w:color w:val="000000"/>
                <w:kern w:val="0"/>
                <w:sz w:val="26"/>
                <w:szCs w:val="26"/>
              </w:rPr>
              <w:t>579</w:t>
            </w:r>
            <w:r w:rsidRPr="003C3FC4">
              <w:rPr>
                <w:rFonts w:ascii="Times New Roman" w:eastAsia="標楷體" w:hAnsi="Times New Roman" w:cs="Arial" w:hint="eastAsia"/>
                <w:color w:val="000000"/>
                <w:kern w:val="0"/>
                <w:sz w:val="26"/>
                <w:szCs w:val="26"/>
              </w:rPr>
              <w:t>億元，為我國各級政府支應施政需求重要財源之一，依</w:t>
            </w:r>
            <w:r w:rsidRPr="003C3FC4">
              <w:rPr>
                <w:rFonts w:ascii="Times New Roman" w:eastAsia="標楷體" w:hAnsi="Times New Roman" w:cs="Arial" w:hint="eastAsia"/>
                <w:color w:val="000000"/>
                <w:kern w:val="0"/>
                <w:sz w:val="26"/>
                <w:szCs w:val="26"/>
              </w:rPr>
              <w:t>2025</w:t>
            </w:r>
            <w:r w:rsidRPr="003C3FC4">
              <w:rPr>
                <w:rFonts w:ascii="Times New Roman" w:eastAsia="標楷體" w:hAnsi="Times New Roman" w:cs="Arial" w:hint="eastAsia"/>
                <w:color w:val="000000"/>
                <w:kern w:val="0"/>
                <w:sz w:val="26"/>
                <w:szCs w:val="26"/>
              </w:rPr>
              <w:t>年</w:t>
            </w:r>
            <w:r w:rsidRPr="003C3FC4">
              <w:rPr>
                <w:rFonts w:ascii="Times New Roman" w:eastAsia="標楷體" w:hAnsi="Times New Roman" w:cs="Arial" w:hint="eastAsia"/>
                <w:color w:val="000000"/>
                <w:kern w:val="0"/>
                <w:sz w:val="26"/>
                <w:szCs w:val="26"/>
              </w:rPr>
              <w:t>3</w:t>
            </w:r>
            <w:r w:rsidRPr="003C3FC4">
              <w:rPr>
                <w:rFonts w:ascii="Times New Roman" w:eastAsia="標楷體" w:hAnsi="Times New Roman" w:cs="Arial" w:hint="eastAsia"/>
                <w:color w:val="000000"/>
                <w:kern w:val="0"/>
                <w:sz w:val="26"/>
                <w:szCs w:val="26"/>
              </w:rPr>
              <w:t>月</w:t>
            </w:r>
            <w:r w:rsidRPr="003C3FC4">
              <w:rPr>
                <w:rFonts w:ascii="Times New Roman" w:eastAsia="標楷體" w:hAnsi="Times New Roman" w:cs="Arial" w:hint="eastAsia"/>
                <w:color w:val="000000"/>
                <w:kern w:val="0"/>
                <w:sz w:val="26"/>
                <w:szCs w:val="26"/>
              </w:rPr>
              <w:t>21</w:t>
            </w:r>
            <w:r w:rsidRPr="003C3FC4">
              <w:rPr>
                <w:rFonts w:ascii="Times New Roman" w:eastAsia="標楷體" w:hAnsi="Times New Roman" w:cs="Arial" w:hint="eastAsia"/>
                <w:color w:val="000000"/>
                <w:kern w:val="0"/>
                <w:sz w:val="26"/>
                <w:szCs w:val="26"/>
              </w:rPr>
              <w:t>日修正公布財政收支劃分法</w:t>
            </w:r>
            <w:r w:rsidRPr="00BC4C96">
              <w:rPr>
                <w:rFonts w:ascii="Times New Roman" w:eastAsia="標楷體" w:hAnsi="Times New Roman" w:cs="Arial" w:hint="eastAsia"/>
                <w:color w:val="000000"/>
                <w:kern w:val="0"/>
                <w:sz w:val="26"/>
                <w:szCs w:val="26"/>
              </w:rPr>
              <w:t>（</w:t>
            </w:r>
            <w:r w:rsidRPr="003C3FC4">
              <w:rPr>
                <w:rFonts w:ascii="Times New Roman" w:eastAsia="標楷體" w:hAnsi="Times New Roman" w:cs="Arial" w:hint="eastAsia"/>
                <w:color w:val="000000"/>
                <w:kern w:val="0"/>
                <w:sz w:val="26"/>
                <w:szCs w:val="26"/>
              </w:rPr>
              <w:t>下稱財劃法</w:t>
            </w:r>
            <w:r w:rsidRPr="00BC4C96">
              <w:rPr>
                <w:rFonts w:ascii="Times New Roman" w:eastAsia="標楷體" w:hAnsi="Times New Roman" w:cs="Arial" w:hint="eastAsia"/>
                <w:color w:val="000000"/>
                <w:kern w:val="0"/>
                <w:sz w:val="26"/>
                <w:szCs w:val="26"/>
              </w:rPr>
              <w:t>）</w:t>
            </w:r>
            <w:r w:rsidRPr="003C3FC4">
              <w:rPr>
                <w:rFonts w:ascii="Times New Roman" w:eastAsia="標楷體" w:hAnsi="Times New Roman" w:cs="Arial" w:hint="eastAsia"/>
                <w:color w:val="000000"/>
                <w:kern w:val="0"/>
                <w:sz w:val="26"/>
                <w:szCs w:val="26"/>
              </w:rPr>
              <w:t>部分條文，中央財政收入縮減近</w:t>
            </w:r>
            <w:r w:rsidRPr="003C3FC4">
              <w:rPr>
                <w:rFonts w:ascii="Times New Roman" w:eastAsia="標楷體" w:hAnsi="Times New Roman" w:cs="Arial" w:hint="eastAsia"/>
                <w:color w:val="000000"/>
                <w:kern w:val="0"/>
                <w:sz w:val="26"/>
                <w:szCs w:val="26"/>
              </w:rPr>
              <w:t>4,000</w:t>
            </w:r>
            <w:r w:rsidRPr="003C3FC4">
              <w:rPr>
                <w:rFonts w:ascii="Times New Roman" w:eastAsia="標楷體" w:hAnsi="Times New Roman" w:cs="Arial" w:hint="eastAsia"/>
                <w:color w:val="000000"/>
                <w:kern w:val="0"/>
                <w:sz w:val="26"/>
                <w:szCs w:val="26"/>
              </w:rPr>
              <w:t>億元，且所得稅稅收已成為主要財源，又同法第</w:t>
            </w:r>
            <w:r w:rsidRPr="003C3FC4">
              <w:rPr>
                <w:rFonts w:ascii="Times New Roman" w:eastAsia="標楷體" w:hAnsi="Times New Roman" w:cs="Arial" w:hint="eastAsia"/>
                <w:color w:val="000000"/>
                <w:kern w:val="0"/>
                <w:sz w:val="26"/>
                <w:szCs w:val="26"/>
              </w:rPr>
              <w:t>8</w:t>
            </w:r>
            <w:r w:rsidRPr="003C3FC4">
              <w:rPr>
                <w:rFonts w:ascii="Times New Roman" w:eastAsia="標楷體" w:hAnsi="Times New Roman" w:cs="Arial" w:hint="eastAsia"/>
                <w:color w:val="000000"/>
                <w:kern w:val="0"/>
                <w:sz w:val="26"/>
                <w:szCs w:val="26"/>
              </w:rPr>
              <w:t>條第</w:t>
            </w:r>
            <w:r w:rsidRPr="003C3FC4">
              <w:rPr>
                <w:rFonts w:ascii="Times New Roman" w:eastAsia="標楷體" w:hAnsi="Times New Roman" w:cs="Arial" w:hint="eastAsia"/>
                <w:color w:val="000000"/>
                <w:kern w:val="0"/>
                <w:sz w:val="26"/>
                <w:szCs w:val="26"/>
              </w:rPr>
              <w:t>2</w:t>
            </w:r>
            <w:r w:rsidRPr="003C3FC4">
              <w:rPr>
                <w:rFonts w:ascii="Times New Roman" w:eastAsia="標楷體" w:hAnsi="Times New Roman" w:cs="Arial" w:hint="eastAsia"/>
                <w:color w:val="000000"/>
                <w:kern w:val="0"/>
                <w:sz w:val="26"/>
                <w:szCs w:val="26"/>
              </w:rPr>
              <w:t>項規定所得稅總收入之</w:t>
            </w:r>
            <w:r w:rsidRPr="003C3FC4">
              <w:rPr>
                <w:rFonts w:ascii="Times New Roman" w:eastAsia="標楷體" w:hAnsi="Times New Roman" w:cs="Arial" w:hint="eastAsia"/>
                <w:color w:val="000000"/>
                <w:kern w:val="0"/>
                <w:sz w:val="26"/>
                <w:szCs w:val="26"/>
              </w:rPr>
              <w:t>11%</w:t>
            </w:r>
            <w:r w:rsidRPr="003C3FC4">
              <w:rPr>
                <w:rFonts w:ascii="Times New Roman" w:eastAsia="標楷體" w:hAnsi="Times New Roman" w:cs="Arial" w:hint="eastAsia"/>
                <w:color w:val="000000"/>
                <w:kern w:val="0"/>
                <w:sz w:val="26"/>
                <w:szCs w:val="26"/>
              </w:rPr>
              <w:t>為中央統籌分配稅款，用以</w:t>
            </w:r>
            <w:proofErr w:type="gramStart"/>
            <w:r w:rsidRPr="003C3FC4">
              <w:rPr>
                <w:rFonts w:ascii="Times New Roman" w:eastAsia="標楷體" w:hAnsi="Times New Roman" w:cs="Arial" w:hint="eastAsia"/>
                <w:color w:val="000000"/>
                <w:kern w:val="0"/>
                <w:sz w:val="26"/>
                <w:szCs w:val="26"/>
              </w:rPr>
              <w:t>挹</w:t>
            </w:r>
            <w:proofErr w:type="gramEnd"/>
            <w:r w:rsidRPr="003C3FC4">
              <w:rPr>
                <w:rFonts w:ascii="Times New Roman" w:eastAsia="標楷體" w:hAnsi="Times New Roman" w:cs="Arial" w:hint="eastAsia"/>
                <w:color w:val="000000"/>
                <w:kern w:val="0"/>
                <w:sz w:val="26"/>
                <w:szCs w:val="26"/>
              </w:rPr>
              <w:t>注地方政府財政收入，倘廢除未分配盈餘加徵營所稅而無其他替代財源，將同時影響地方政府財源及各項施政。</w:t>
            </w:r>
          </w:p>
          <w:p w14:paraId="5AEC4A2A" w14:textId="77777777" w:rsidR="005E5F3E" w:rsidRPr="00F41A53" w:rsidRDefault="005E5F3E" w:rsidP="00C97469">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1A53">
              <w:rPr>
                <w:rFonts w:ascii="Times New Roman" w:eastAsia="標楷體" w:hAnsi="Times New Roman" w:cs="Arial" w:hint="eastAsia"/>
                <w:color w:val="000000"/>
                <w:kern w:val="0"/>
                <w:sz w:val="26"/>
                <w:szCs w:val="26"/>
              </w:rPr>
              <w:t>綜上，現行所得稅法</w:t>
            </w:r>
            <w:proofErr w:type="gramStart"/>
            <w:r w:rsidRPr="00F41A53">
              <w:rPr>
                <w:rFonts w:ascii="Times New Roman" w:eastAsia="標楷體" w:hAnsi="Times New Roman" w:cs="Arial" w:hint="eastAsia"/>
                <w:color w:val="000000"/>
                <w:kern w:val="0"/>
                <w:sz w:val="26"/>
                <w:szCs w:val="26"/>
              </w:rPr>
              <w:t>及產創條例</w:t>
            </w:r>
            <w:proofErr w:type="gramEnd"/>
            <w:r w:rsidRPr="00F41A53">
              <w:rPr>
                <w:rFonts w:ascii="Times New Roman" w:eastAsia="標楷體" w:hAnsi="Times New Roman" w:cs="Arial" w:hint="eastAsia"/>
                <w:color w:val="000000"/>
                <w:kern w:val="0"/>
                <w:sz w:val="26"/>
                <w:szCs w:val="26"/>
              </w:rPr>
              <w:t>相關規定已適度減輕或免除企業保留盈餘之所得稅負</w:t>
            </w:r>
            <w:r>
              <w:rPr>
                <w:rFonts w:ascii="Times New Roman" w:eastAsia="標楷體" w:hAnsi="Times New Roman" w:cs="Arial" w:hint="eastAsia"/>
                <w:color w:val="000000"/>
                <w:kern w:val="0"/>
                <w:sz w:val="26"/>
                <w:szCs w:val="26"/>
              </w:rPr>
              <w:t>擔</w:t>
            </w:r>
            <w:r w:rsidRPr="00F41A53">
              <w:rPr>
                <w:rFonts w:ascii="Times New Roman" w:eastAsia="標楷體" w:hAnsi="Times New Roman" w:cs="Arial" w:hint="eastAsia"/>
                <w:color w:val="000000"/>
                <w:kern w:val="0"/>
                <w:sz w:val="26"/>
                <w:szCs w:val="26"/>
              </w:rPr>
              <w:t>。且基於減緩營所稅稅基流失、降低避稅誘因及維護政府財政健全等考量，尚不宜廢除未分配盈餘加徵營所稅制度。</w:t>
            </w:r>
          </w:p>
          <w:p w14:paraId="35E602C0" w14:textId="77777777" w:rsidR="005E5F3E" w:rsidRPr="00ED4851" w:rsidRDefault="005E5F3E" w:rsidP="00C97469">
            <w:pPr>
              <w:pStyle w:val="ab"/>
              <w:numPr>
                <w:ilvl w:val="0"/>
                <w:numId w:val="14"/>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F8393C">
              <w:rPr>
                <w:rFonts w:ascii="Times New Roman" w:eastAsia="標楷體" w:hAnsi="Times New Roman" w:cs="Arial" w:hint="eastAsia"/>
                <w:color w:val="000000"/>
                <w:kern w:val="0"/>
                <w:sz w:val="26"/>
                <w:szCs w:val="26"/>
              </w:rPr>
              <w:t>所得稅法第</w:t>
            </w:r>
            <w:r w:rsidRPr="00F8393C">
              <w:rPr>
                <w:rFonts w:ascii="Times New Roman" w:eastAsia="標楷體" w:hAnsi="Times New Roman" w:cs="Arial" w:hint="eastAsia"/>
                <w:color w:val="000000"/>
                <w:kern w:val="0"/>
                <w:sz w:val="26"/>
                <w:szCs w:val="26"/>
              </w:rPr>
              <w:t>66</w:t>
            </w:r>
            <w:r w:rsidRPr="00F8393C">
              <w:rPr>
                <w:rFonts w:ascii="Times New Roman" w:eastAsia="標楷體" w:hAnsi="Times New Roman" w:cs="Arial" w:hint="eastAsia"/>
                <w:color w:val="000000"/>
                <w:kern w:val="0"/>
                <w:sz w:val="26"/>
                <w:szCs w:val="26"/>
              </w:rPr>
              <w:t>條之</w:t>
            </w:r>
            <w:r w:rsidRPr="00F8393C">
              <w:rPr>
                <w:rFonts w:ascii="Times New Roman" w:eastAsia="標楷體" w:hAnsi="Times New Roman" w:cs="Arial" w:hint="eastAsia"/>
                <w:color w:val="000000"/>
                <w:kern w:val="0"/>
                <w:sz w:val="26"/>
                <w:szCs w:val="26"/>
              </w:rPr>
              <w:t>9</w:t>
            </w:r>
            <w:r w:rsidRPr="00F8393C">
              <w:rPr>
                <w:rFonts w:ascii="Times New Roman" w:eastAsia="標楷體" w:hAnsi="Times New Roman" w:cs="Arial" w:hint="eastAsia"/>
                <w:color w:val="000000"/>
                <w:kern w:val="0"/>
                <w:sz w:val="26"/>
                <w:szCs w:val="26"/>
              </w:rPr>
              <w:t>；產業創新條例第</w:t>
            </w:r>
            <w:r w:rsidRPr="00F8393C">
              <w:rPr>
                <w:rFonts w:ascii="Times New Roman" w:eastAsia="標楷體" w:hAnsi="Times New Roman" w:cs="Arial" w:hint="eastAsia"/>
                <w:color w:val="000000"/>
                <w:kern w:val="0"/>
                <w:sz w:val="26"/>
                <w:szCs w:val="26"/>
              </w:rPr>
              <w:t>23</w:t>
            </w:r>
            <w:r w:rsidRPr="00F8393C">
              <w:rPr>
                <w:rFonts w:ascii="Times New Roman" w:eastAsia="標楷體" w:hAnsi="Times New Roman" w:cs="Arial" w:hint="eastAsia"/>
                <w:color w:val="000000"/>
                <w:kern w:val="0"/>
                <w:sz w:val="26"/>
                <w:szCs w:val="26"/>
              </w:rPr>
              <w:t>條之</w:t>
            </w:r>
            <w:r w:rsidRPr="00F8393C">
              <w:rPr>
                <w:rFonts w:ascii="Times New Roman" w:eastAsia="標楷體" w:hAnsi="Times New Roman" w:cs="Arial" w:hint="eastAsia"/>
                <w:color w:val="000000"/>
                <w:kern w:val="0"/>
                <w:sz w:val="26"/>
                <w:szCs w:val="26"/>
              </w:rPr>
              <w:t>3</w:t>
            </w:r>
            <w:r w:rsidRPr="00F8393C">
              <w:rPr>
                <w:rFonts w:ascii="Times New Roman" w:eastAsia="標楷體" w:hAnsi="Times New Roman" w:cs="Arial" w:hint="eastAsia"/>
                <w:color w:val="000000"/>
                <w:kern w:val="0"/>
                <w:sz w:val="26"/>
                <w:szCs w:val="26"/>
              </w:rPr>
              <w:t>、財政收支劃分法第</w:t>
            </w:r>
            <w:r w:rsidRPr="00F8393C">
              <w:rPr>
                <w:rFonts w:ascii="Times New Roman" w:eastAsia="標楷體" w:hAnsi="Times New Roman" w:cs="Arial" w:hint="eastAsia"/>
                <w:color w:val="000000"/>
                <w:kern w:val="0"/>
                <w:sz w:val="26"/>
                <w:szCs w:val="26"/>
              </w:rPr>
              <w:t>8</w:t>
            </w:r>
            <w:r w:rsidRPr="00F8393C">
              <w:rPr>
                <w:rFonts w:ascii="Times New Roman" w:eastAsia="標楷體" w:hAnsi="Times New Roman" w:cs="Arial" w:hint="eastAsia"/>
                <w:color w:val="000000"/>
                <w:kern w:val="0"/>
                <w:sz w:val="26"/>
                <w:szCs w:val="26"/>
              </w:rPr>
              <w:t>條第</w:t>
            </w:r>
            <w:r w:rsidRPr="00F8393C">
              <w:rPr>
                <w:rFonts w:ascii="Times New Roman" w:eastAsia="標楷體" w:hAnsi="Times New Roman" w:cs="Arial" w:hint="eastAsia"/>
                <w:color w:val="000000"/>
                <w:kern w:val="0"/>
                <w:sz w:val="26"/>
                <w:szCs w:val="26"/>
              </w:rPr>
              <w:t>2</w:t>
            </w:r>
            <w:r w:rsidRPr="00F8393C">
              <w:rPr>
                <w:rFonts w:ascii="Times New Roman" w:eastAsia="標楷體" w:hAnsi="Times New Roman" w:cs="Arial" w:hint="eastAsia"/>
                <w:color w:val="000000"/>
                <w:kern w:val="0"/>
                <w:sz w:val="26"/>
                <w:szCs w:val="26"/>
              </w:rPr>
              <w:t>項</w:t>
            </w:r>
          </w:p>
        </w:tc>
        <w:tc>
          <w:tcPr>
            <w:tcW w:w="1417" w:type="dxa"/>
            <w:noWrap/>
          </w:tcPr>
          <w:p w14:paraId="54046341"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1199951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476096D8"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549210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5F87BB5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6669533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752A5DB4"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90248422"/>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6091BB6D" w14:textId="77777777" w:rsidTr="00C97469">
        <w:tc>
          <w:tcPr>
            <w:tcW w:w="1418" w:type="dxa"/>
            <w:vMerge/>
            <w:hideMark/>
          </w:tcPr>
          <w:p w14:paraId="0E5780BB"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4DF24BFE"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二</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如仍有維持未分配盈餘課稅之必要，亦應將課稅對象侷限於非公開發行或未上市、上櫃之公司保留盈餘。</w:t>
            </w:r>
          </w:p>
        </w:tc>
        <w:tc>
          <w:tcPr>
            <w:tcW w:w="709" w:type="dxa"/>
            <w:hideMark/>
          </w:tcPr>
          <w:p w14:paraId="635A22BE"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13F3BA34" w14:textId="77777777" w:rsidR="005E5F3E" w:rsidRPr="007D1840"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7D1840">
              <w:rPr>
                <w:rFonts w:ascii="Times New Roman" w:eastAsia="標楷體" w:hAnsi="Times New Roman" w:cs="Arial" w:hint="eastAsia"/>
                <w:b/>
                <w:bCs/>
                <w:color w:val="000000"/>
                <w:kern w:val="0"/>
                <w:sz w:val="26"/>
                <w:szCs w:val="28"/>
              </w:rPr>
              <w:t>財政部</w:t>
            </w:r>
          </w:p>
          <w:p w14:paraId="083B14F1" w14:textId="77777777" w:rsidR="005E5F3E" w:rsidRDefault="005E5F3E" w:rsidP="00C97469">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D9F0FEE" w14:textId="77777777" w:rsidR="005E5F3E" w:rsidRPr="009D1537" w:rsidRDefault="005E5F3E"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667DF7">
              <w:rPr>
                <w:rFonts w:ascii="Times New Roman" w:eastAsia="標楷體" w:hAnsi="Times New Roman" w:cs="Arial" w:hint="eastAsia"/>
                <w:color w:val="000000"/>
                <w:kern w:val="0"/>
                <w:sz w:val="26"/>
                <w:szCs w:val="26"/>
              </w:rPr>
              <w:t>未分配盈餘加徵營所稅制度，除降低企業藉保留盈餘不分配為高所得個人股東規避稅負誘因外，另有透過對保留盈餘中屬減免稅所得部分加徵營所稅方式，減緩稅基流失目的，該稅制係一體適用於所有企業，尚不宜將公開發行或上市、上櫃公司排除適用，以符租稅公平</w:t>
            </w:r>
            <w:r>
              <w:rPr>
                <w:rFonts w:ascii="Times New Roman" w:eastAsia="標楷體" w:hAnsi="Times New Roman" w:cs="Arial" w:hint="eastAsia"/>
                <w:color w:val="000000"/>
                <w:kern w:val="0"/>
                <w:sz w:val="26"/>
                <w:szCs w:val="26"/>
              </w:rPr>
              <w:t>。</w:t>
            </w:r>
          </w:p>
          <w:p w14:paraId="3A330802" w14:textId="77777777" w:rsidR="005E5F3E" w:rsidRPr="00ED4851" w:rsidRDefault="005E5F3E" w:rsidP="00C97469">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2C3AB2">
              <w:rPr>
                <w:rFonts w:ascii="Times New Roman" w:eastAsia="標楷體" w:hAnsi="Times New Roman" w:cs="Arial" w:hint="eastAsia"/>
                <w:color w:val="000000"/>
                <w:kern w:val="0"/>
                <w:sz w:val="26"/>
                <w:szCs w:val="26"/>
              </w:rPr>
              <w:t>所得稅法第</w:t>
            </w:r>
            <w:r w:rsidRPr="002C3AB2">
              <w:rPr>
                <w:rFonts w:ascii="Times New Roman" w:eastAsia="標楷體" w:hAnsi="Times New Roman" w:cs="Arial" w:hint="eastAsia"/>
                <w:color w:val="000000"/>
                <w:kern w:val="0"/>
                <w:sz w:val="26"/>
                <w:szCs w:val="26"/>
              </w:rPr>
              <w:t>66</w:t>
            </w:r>
            <w:r w:rsidRPr="002C3AB2">
              <w:rPr>
                <w:rFonts w:ascii="Times New Roman" w:eastAsia="標楷體" w:hAnsi="Times New Roman" w:cs="Arial" w:hint="eastAsia"/>
                <w:color w:val="000000"/>
                <w:kern w:val="0"/>
                <w:sz w:val="26"/>
                <w:szCs w:val="26"/>
              </w:rPr>
              <w:t>條之</w:t>
            </w:r>
            <w:r w:rsidRPr="002C3AB2">
              <w:rPr>
                <w:rFonts w:ascii="Times New Roman" w:eastAsia="標楷體" w:hAnsi="Times New Roman" w:cs="Arial" w:hint="eastAsia"/>
                <w:color w:val="000000"/>
                <w:kern w:val="0"/>
                <w:sz w:val="26"/>
                <w:szCs w:val="26"/>
              </w:rPr>
              <w:t>9</w:t>
            </w:r>
          </w:p>
        </w:tc>
        <w:tc>
          <w:tcPr>
            <w:tcW w:w="1417" w:type="dxa"/>
            <w:noWrap/>
          </w:tcPr>
          <w:p w14:paraId="52C719CE"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6549170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3B35CEF3"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445065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1A511553"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39524993"/>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33ABCAD9"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09284403"/>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130D9377" w14:textId="77777777" w:rsidTr="00C97469">
        <w:tc>
          <w:tcPr>
            <w:tcW w:w="1418" w:type="dxa"/>
            <w:vMerge/>
            <w:hideMark/>
          </w:tcPr>
          <w:p w14:paraId="51D02135"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3896DB93"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三</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建議修正未分配盈餘計算基礎暨修改《所得稅法》</w:t>
            </w:r>
            <w:r w:rsidRPr="007D7972">
              <w:rPr>
                <w:rFonts w:ascii="Times New Roman" w:eastAsia="標楷體" w:hAnsi="Times New Roman" w:cs="Arial"/>
                <w:b/>
                <w:bCs/>
                <w:color w:val="000000"/>
                <w:kern w:val="0"/>
                <w:sz w:val="26"/>
                <w:szCs w:val="28"/>
              </w:rPr>
              <w:t>66</w:t>
            </w:r>
            <w:r w:rsidRPr="007D7972">
              <w:rPr>
                <w:rFonts w:ascii="Times New Roman" w:eastAsia="標楷體" w:hAnsi="Times New Roman" w:cs="Arial"/>
                <w:b/>
                <w:bCs/>
                <w:color w:val="000000"/>
                <w:kern w:val="0"/>
                <w:sz w:val="26"/>
                <w:szCs w:val="28"/>
              </w:rPr>
              <w:t>條之</w:t>
            </w:r>
            <w:r w:rsidRPr="007D7972">
              <w:rPr>
                <w:rFonts w:ascii="Times New Roman" w:eastAsia="標楷體" w:hAnsi="Times New Roman" w:cs="Arial"/>
                <w:b/>
                <w:bCs/>
                <w:color w:val="000000"/>
                <w:kern w:val="0"/>
                <w:sz w:val="26"/>
                <w:szCs w:val="28"/>
              </w:rPr>
              <w:t>9</w:t>
            </w:r>
            <w:r w:rsidRPr="007D7972">
              <w:rPr>
                <w:rFonts w:ascii="Times New Roman" w:eastAsia="標楷體" w:hAnsi="Times New Roman" w:cs="Arial"/>
                <w:b/>
                <w:bCs/>
                <w:color w:val="000000"/>
                <w:kern w:val="0"/>
                <w:sz w:val="26"/>
                <w:szCs w:val="28"/>
              </w:rPr>
              <w:t>第</w:t>
            </w:r>
            <w:r w:rsidRPr="007D7972">
              <w:rPr>
                <w:rFonts w:ascii="Times New Roman" w:eastAsia="標楷體" w:hAnsi="Times New Roman" w:cs="Arial"/>
                <w:b/>
                <w:bCs/>
                <w:color w:val="000000"/>
                <w:kern w:val="0"/>
                <w:sz w:val="26"/>
                <w:szCs w:val="28"/>
              </w:rPr>
              <w:t>2</w:t>
            </w:r>
            <w:r w:rsidRPr="007D7972">
              <w:rPr>
                <w:rFonts w:ascii="Times New Roman" w:eastAsia="標楷體" w:hAnsi="Times New Roman" w:cs="Arial"/>
                <w:b/>
                <w:bCs/>
                <w:color w:val="000000"/>
                <w:kern w:val="0"/>
                <w:sz w:val="26"/>
                <w:szCs w:val="28"/>
              </w:rPr>
              <w:t>項，刪除「純益」</w:t>
            </w:r>
            <w:r w:rsidRPr="007D7972">
              <w:rPr>
                <w:rFonts w:ascii="Times New Roman" w:eastAsia="標楷體" w:hAnsi="Times New Roman" w:cs="Arial"/>
                <w:b/>
                <w:bCs/>
                <w:color w:val="000000"/>
                <w:kern w:val="0"/>
                <w:sz w:val="26"/>
                <w:szCs w:val="28"/>
              </w:rPr>
              <w:t>2</w:t>
            </w:r>
            <w:r w:rsidRPr="007D7972">
              <w:rPr>
                <w:rFonts w:ascii="Times New Roman" w:eastAsia="標楷體" w:hAnsi="Times New Roman" w:cs="Arial"/>
                <w:b/>
                <w:bCs/>
                <w:color w:val="000000"/>
                <w:kern w:val="0"/>
                <w:sz w:val="26"/>
                <w:szCs w:val="28"/>
              </w:rPr>
              <w:t>字。</w:t>
            </w:r>
          </w:p>
        </w:tc>
        <w:tc>
          <w:tcPr>
            <w:tcW w:w="709" w:type="dxa"/>
            <w:hideMark/>
          </w:tcPr>
          <w:p w14:paraId="0E7270C5"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575CEB4A" w14:textId="77777777" w:rsidR="005E5F3E" w:rsidRPr="008319E2"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8319E2">
              <w:rPr>
                <w:rFonts w:ascii="Times New Roman" w:eastAsia="標楷體" w:hAnsi="Times New Roman" w:cs="Arial" w:hint="eastAsia"/>
                <w:b/>
                <w:bCs/>
                <w:color w:val="000000"/>
                <w:kern w:val="0"/>
                <w:sz w:val="26"/>
                <w:szCs w:val="28"/>
              </w:rPr>
              <w:t>財政部</w:t>
            </w:r>
          </w:p>
          <w:p w14:paraId="22BB58CA" w14:textId="77777777" w:rsidR="005E5F3E" w:rsidRDefault="005E5F3E" w:rsidP="00C97469">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084A0E3C" w14:textId="77777777" w:rsidR="005E5F3E" w:rsidRPr="008319E2" w:rsidRDefault="005E5F3E" w:rsidP="000F0277">
            <w:pPr>
              <w:kinsoku w:val="0"/>
              <w:overflowPunct w:val="0"/>
              <w:spacing w:line="340" w:lineRule="exact"/>
              <w:ind w:leftChars="150" w:left="360" w:firstLineChars="200" w:firstLine="520"/>
              <w:rPr>
                <w:rFonts w:ascii="Times New Roman" w:eastAsia="標楷體" w:hAnsi="Times New Roman" w:cs="Arial"/>
                <w:color w:val="000000"/>
                <w:kern w:val="0"/>
                <w:sz w:val="26"/>
                <w:szCs w:val="26"/>
              </w:rPr>
            </w:pPr>
            <w:r w:rsidRPr="008319E2">
              <w:rPr>
                <w:rFonts w:ascii="Times New Roman" w:eastAsia="標楷體" w:hAnsi="Times New Roman" w:cs="Arial" w:hint="eastAsia"/>
                <w:color w:val="000000"/>
                <w:kern w:val="0"/>
                <w:sz w:val="26"/>
                <w:szCs w:val="26"/>
              </w:rPr>
              <w:t>所得稅法第</w:t>
            </w:r>
            <w:r w:rsidRPr="008319E2">
              <w:rPr>
                <w:rFonts w:ascii="Times New Roman" w:eastAsia="標楷體" w:hAnsi="Times New Roman" w:cs="Arial" w:hint="eastAsia"/>
                <w:color w:val="000000"/>
                <w:kern w:val="0"/>
                <w:sz w:val="26"/>
                <w:szCs w:val="26"/>
              </w:rPr>
              <w:t>66</w:t>
            </w:r>
            <w:r w:rsidRPr="008319E2">
              <w:rPr>
                <w:rFonts w:ascii="Times New Roman" w:eastAsia="標楷體" w:hAnsi="Times New Roman" w:cs="Arial" w:hint="eastAsia"/>
                <w:color w:val="000000"/>
                <w:kern w:val="0"/>
                <w:sz w:val="26"/>
                <w:szCs w:val="26"/>
              </w:rPr>
              <w:t>條之</w:t>
            </w:r>
            <w:r w:rsidRPr="008319E2">
              <w:rPr>
                <w:rFonts w:ascii="Times New Roman" w:eastAsia="標楷體" w:hAnsi="Times New Roman" w:cs="Arial" w:hint="eastAsia"/>
                <w:color w:val="000000"/>
                <w:kern w:val="0"/>
                <w:sz w:val="26"/>
                <w:szCs w:val="26"/>
              </w:rPr>
              <w:t>9</w:t>
            </w:r>
            <w:r w:rsidRPr="008319E2">
              <w:rPr>
                <w:rFonts w:ascii="Times New Roman" w:eastAsia="標楷體" w:hAnsi="Times New Roman" w:cs="Arial" w:hint="eastAsia"/>
                <w:color w:val="000000"/>
                <w:kern w:val="0"/>
                <w:sz w:val="26"/>
                <w:szCs w:val="26"/>
              </w:rPr>
              <w:t>規定當年度未分配盈餘計算係以「當年度可供分配之財務會計盈餘」為</w:t>
            </w:r>
            <w:proofErr w:type="gramStart"/>
            <w:r w:rsidRPr="008319E2">
              <w:rPr>
                <w:rFonts w:ascii="Times New Roman" w:eastAsia="標楷體" w:hAnsi="Times New Roman" w:cs="Arial" w:hint="eastAsia"/>
                <w:color w:val="000000"/>
                <w:kern w:val="0"/>
                <w:sz w:val="26"/>
                <w:szCs w:val="26"/>
              </w:rPr>
              <w:t>準</w:t>
            </w:r>
            <w:proofErr w:type="gramEnd"/>
            <w:r>
              <w:rPr>
                <w:rFonts w:ascii="Times New Roman" w:eastAsia="標楷體" w:hAnsi="Times New Roman" w:cs="Arial" w:hint="eastAsia"/>
                <w:color w:val="000000"/>
                <w:kern w:val="0"/>
                <w:sz w:val="26"/>
                <w:szCs w:val="26"/>
              </w:rPr>
              <w:t>。</w:t>
            </w:r>
          </w:p>
          <w:p w14:paraId="1C10C6E7" w14:textId="77777777" w:rsidR="005E5F3E" w:rsidRDefault="005E5F3E" w:rsidP="00C97469">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319E2">
              <w:rPr>
                <w:rFonts w:ascii="Times New Roman" w:eastAsia="標楷體" w:hAnsi="Times New Roman" w:cs="Arial" w:hint="eastAsia"/>
                <w:color w:val="000000"/>
                <w:kern w:val="0"/>
                <w:sz w:val="26"/>
                <w:szCs w:val="26"/>
              </w:rPr>
              <w:t>所得稅法第</w:t>
            </w:r>
            <w:r w:rsidRPr="008319E2">
              <w:rPr>
                <w:rFonts w:ascii="Times New Roman" w:eastAsia="標楷體" w:hAnsi="Times New Roman" w:cs="Arial" w:hint="eastAsia"/>
                <w:color w:val="000000"/>
                <w:kern w:val="0"/>
                <w:sz w:val="26"/>
                <w:szCs w:val="26"/>
              </w:rPr>
              <w:t>66</w:t>
            </w:r>
            <w:r w:rsidRPr="008319E2">
              <w:rPr>
                <w:rFonts w:ascii="Times New Roman" w:eastAsia="標楷體" w:hAnsi="Times New Roman" w:cs="Arial" w:hint="eastAsia"/>
                <w:color w:val="000000"/>
                <w:kern w:val="0"/>
                <w:sz w:val="26"/>
                <w:szCs w:val="26"/>
              </w:rPr>
              <w:t>條之</w:t>
            </w:r>
            <w:r w:rsidRPr="008319E2">
              <w:rPr>
                <w:rFonts w:ascii="Times New Roman" w:eastAsia="標楷體" w:hAnsi="Times New Roman" w:cs="Arial" w:hint="eastAsia"/>
                <w:color w:val="000000"/>
                <w:kern w:val="0"/>
                <w:sz w:val="26"/>
                <w:szCs w:val="26"/>
              </w:rPr>
              <w:t>9</w:t>
            </w:r>
            <w:r w:rsidRPr="008319E2">
              <w:rPr>
                <w:rFonts w:ascii="Times New Roman" w:eastAsia="標楷體" w:hAnsi="Times New Roman" w:cs="Arial" w:hint="eastAsia"/>
                <w:color w:val="000000"/>
                <w:kern w:val="0"/>
                <w:sz w:val="26"/>
                <w:szCs w:val="26"/>
              </w:rPr>
              <w:t>第</w:t>
            </w:r>
            <w:r w:rsidRPr="008319E2">
              <w:rPr>
                <w:rFonts w:ascii="Times New Roman" w:eastAsia="標楷體" w:hAnsi="Times New Roman" w:cs="Arial" w:hint="eastAsia"/>
                <w:color w:val="000000"/>
                <w:kern w:val="0"/>
                <w:sz w:val="26"/>
                <w:szCs w:val="26"/>
              </w:rPr>
              <w:t>2</w:t>
            </w:r>
            <w:r w:rsidRPr="008319E2">
              <w:rPr>
                <w:rFonts w:ascii="Times New Roman" w:eastAsia="標楷體" w:hAnsi="Times New Roman" w:cs="Arial" w:hint="eastAsia"/>
                <w:color w:val="000000"/>
                <w:kern w:val="0"/>
                <w:sz w:val="26"/>
                <w:szCs w:val="26"/>
              </w:rPr>
              <w:t>項規定當年度未分配盈餘之計算，指營利事業當年度依商業會計法等規定處理之本期稅後淨利，加計「本期稅後淨利以外純益項目計入當年度未分配盈餘之數額」，減除同項各款後餘額，即以當年度可供分配之財務會計盈餘為</w:t>
            </w:r>
            <w:proofErr w:type="gramStart"/>
            <w:r w:rsidRPr="008319E2">
              <w:rPr>
                <w:rFonts w:ascii="Times New Roman" w:eastAsia="標楷體" w:hAnsi="Times New Roman" w:cs="Arial" w:hint="eastAsia"/>
                <w:color w:val="000000"/>
                <w:kern w:val="0"/>
                <w:sz w:val="26"/>
                <w:szCs w:val="26"/>
              </w:rPr>
              <w:t>準</w:t>
            </w:r>
            <w:proofErr w:type="gramEnd"/>
            <w:r w:rsidRPr="008319E2">
              <w:rPr>
                <w:rFonts w:ascii="Times New Roman" w:eastAsia="標楷體" w:hAnsi="Times New Roman" w:cs="Arial" w:hint="eastAsia"/>
                <w:color w:val="000000"/>
                <w:kern w:val="0"/>
                <w:sz w:val="26"/>
                <w:szCs w:val="26"/>
              </w:rPr>
              <w:t>。並於同條項第</w:t>
            </w:r>
            <w:r w:rsidRPr="008319E2">
              <w:rPr>
                <w:rFonts w:ascii="Times New Roman" w:eastAsia="標楷體" w:hAnsi="Times New Roman" w:cs="Arial" w:hint="eastAsia"/>
                <w:color w:val="000000"/>
                <w:kern w:val="0"/>
                <w:sz w:val="26"/>
                <w:szCs w:val="26"/>
              </w:rPr>
              <w:t>7</w:t>
            </w:r>
            <w:r w:rsidRPr="008319E2">
              <w:rPr>
                <w:rFonts w:ascii="Times New Roman" w:eastAsia="標楷體" w:hAnsi="Times New Roman" w:cs="Arial" w:hint="eastAsia"/>
                <w:color w:val="000000"/>
                <w:kern w:val="0"/>
                <w:sz w:val="26"/>
                <w:szCs w:val="26"/>
              </w:rPr>
              <w:t>款明定「本期稅後淨利</w:t>
            </w:r>
            <w:r w:rsidRPr="008319E2">
              <w:rPr>
                <w:rFonts w:ascii="Times New Roman" w:eastAsia="標楷體" w:hAnsi="Times New Roman" w:cs="Arial" w:hint="eastAsia"/>
                <w:color w:val="000000"/>
                <w:kern w:val="0"/>
                <w:sz w:val="26"/>
                <w:szCs w:val="26"/>
              </w:rPr>
              <w:lastRenderedPageBreak/>
              <w:t>以外純損項目計入當年度未分配盈餘之數額」得予減除，以資衡平。</w:t>
            </w:r>
          </w:p>
          <w:p w14:paraId="4AAB3ABF" w14:textId="77777777" w:rsidR="005E5F3E" w:rsidRPr="00C66D0D" w:rsidRDefault="005E5F3E" w:rsidP="00C97469">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66D0D">
              <w:rPr>
                <w:rFonts w:ascii="Times New Roman" w:eastAsia="標楷體" w:hAnsi="Times New Roman" w:cs="Arial" w:hint="eastAsia"/>
                <w:color w:val="000000"/>
                <w:kern w:val="0"/>
                <w:sz w:val="26"/>
                <w:szCs w:val="26"/>
              </w:rPr>
              <w:t>營利事業依財務會計處理產生沖減保留盈餘情形，須依其會計事項及性質評估沖減以前年度保留盈餘或當年度未分配盈餘，如有認定疑義，可提供具體個案</w:t>
            </w:r>
            <w:proofErr w:type="gramStart"/>
            <w:r w:rsidRPr="00C66D0D">
              <w:rPr>
                <w:rFonts w:ascii="Times New Roman" w:eastAsia="標楷體" w:hAnsi="Times New Roman" w:cs="Arial" w:hint="eastAsia"/>
                <w:color w:val="000000"/>
                <w:kern w:val="0"/>
                <w:sz w:val="26"/>
                <w:szCs w:val="26"/>
              </w:rPr>
              <w:t>洽</w:t>
            </w:r>
            <w:proofErr w:type="gramEnd"/>
            <w:r w:rsidRPr="00C66D0D">
              <w:rPr>
                <w:rFonts w:ascii="Times New Roman" w:eastAsia="標楷體" w:hAnsi="Times New Roman" w:cs="Arial" w:hint="eastAsia"/>
                <w:color w:val="000000"/>
                <w:kern w:val="0"/>
                <w:sz w:val="26"/>
                <w:szCs w:val="26"/>
              </w:rPr>
              <w:t>所在地國稅局認定，</w:t>
            </w:r>
            <w:proofErr w:type="gramStart"/>
            <w:r w:rsidRPr="00C66D0D">
              <w:rPr>
                <w:rFonts w:ascii="Times New Roman" w:eastAsia="標楷體" w:hAnsi="Times New Roman" w:cs="Arial" w:hint="eastAsia"/>
                <w:color w:val="000000"/>
                <w:kern w:val="0"/>
                <w:sz w:val="26"/>
                <w:szCs w:val="26"/>
              </w:rPr>
              <w:t>倘涉法令</w:t>
            </w:r>
            <w:proofErr w:type="gramEnd"/>
            <w:r w:rsidRPr="00C66D0D">
              <w:rPr>
                <w:rFonts w:ascii="Times New Roman" w:eastAsia="標楷體" w:hAnsi="Times New Roman" w:cs="Arial" w:hint="eastAsia"/>
                <w:color w:val="000000"/>
                <w:kern w:val="0"/>
                <w:sz w:val="26"/>
                <w:szCs w:val="26"/>
              </w:rPr>
              <w:t>適用疑義，將由國稅局</w:t>
            </w:r>
            <w:proofErr w:type="gramStart"/>
            <w:r w:rsidRPr="00C66D0D">
              <w:rPr>
                <w:rFonts w:ascii="Times New Roman" w:eastAsia="標楷體" w:hAnsi="Times New Roman" w:cs="Arial" w:hint="eastAsia"/>
                <w:color w:val="000000"/>
                <w:kern w:val="0"/>
                <w:sz w:val="26"/>
                <w:szCs w:val="26"/>
              </w:rPr>
              <w:t>研</w:t>
            </w:r>
            <w:proofErr w:type="gramEnd"/>
            <w:r w:rsidRPr="00C66D0D">
              <w:rPr>
                <w:rFonts w:ascii="Times New Roman" w:eastAsia="標楷體" w:hAnsi="Times New Roman" w:cs="Arial" w:hint="eastAsia"/>
                <w:color w:val="000000"/>
                <w:kern w:val="0"/>
                <w:sz w:val="26"/>
                <w:szCs w:val="26"/>
              </w:rPr>
              <w:t>提意見報財政部</w:t>
            </w:r>
            <w:proofErr w:type="gramStart"/>
            <w:r w:rsidRPr="00C66D0D">
              <w:rPr>
                <w:rFonts w:ascii="Times New Roman" w:eastAsia="標楷體" w:hAnsi="Times New Roman" w:cs="Arial" w:hint="eastAsia"/>
                <w:color w:val="000000"/>
                <w:kern w:val="0"/>
                <w:sz w:val="26"/>
                <w:szCs w:val="26"/>
              </w:rPr>
              <w:t>研</w:t>
            </w:r>
            <w:proofErr w:type="gramEnd"/>
            <w:r w:rsidRPr="00C66D0D">
              <w:rPr>
                <w:rFonts w:ascii="Times New Roman" w:eastAsia="標楷體" w:hAnsi="Times New Roman" w:cs="Arial" w:hint="eastAsia"/>
                <w:color w:val="000000"/>
                <w:kern w:val="0"/>
                <w:sz w:val="26"/>
                <w:szCs w:val="26"/>
              </w:rPr>
              <w:t>議。</w:t>
            </w:r>
          </w:p>
          <w:p w14:paraId="25F99F62" w14:textId="77777777" w:rsidR="005E5F3E" w:rsidRPr="00ED4851" w:rsidRDefault="005E5F3E" w:rsidP="00C97469">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w:t>
            </w:r>
            <w:r w:rsidRPr="000A6CEB">
              <w:rPr>
                <w:rFonts w:ascii="標楷體" w:eastAsia="標楷體" w:hAnsi="標楷體" w:cs="Arial" w:hint="eastAsia"/>
                <w:color w:val="000000"/>
                <w:kern w:val="0"/>
                <w:sz w:val="26"/>
                <w:szCs w:val="26"/>
              </w:rPr>
              <w:t>及法規。</w:t>
            </w:r>
            <w:r w:rsidRPr="000A6CEB">
              <w:rPr>
                <w:rFonts w:ascii="標楷體" w:eastAsia="標楷體" w:hAnsi="標楷體"/>
                <w:color w:val="000000"/>
                <w:sz w:val="26"/>
                <w:szCs w:val="26"/>
              </w:rPr>
              <w:t>所得稅法第66條之9</w:t>
            </w:r>
          </w:p>
        </w:tc>
        <w:tc>
          <w:tcPr>
            <w:tcW w:w="1417" w:type="dxa"/>
            <w:noWrap/>
          </w:tcPr>
          <w:p w14:paraId="74643EF3"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7824497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44CFF400"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73535689"/>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78D08A6D"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3037866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735B5D0C"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993705442"/>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2CC29F4E" w14:textId="77777777" w:rsidTr="00C97469">
        <w:tc>
          <w:tcPr>
            <w:tcW w:w="1418" w:type="dxa"/>
            <w:vMerge/>
            <w:hideMark/>
          </w:tcPr>
          <w:p w14:paraId="0ADF0AAF"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29A995DF"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四</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建議修正《公司或有限合夥事業實質投資適用未分配盈餘減除及申請退稅辦法》，讓關係企業間投資可以納入子公司實質投資項目。</w:t>
            </w:r>
          </w:p>
        </w:tc>
        <w:tc>
          <w:tcPr>
            <w:tcW w:w="709" w:type="dxa"/>
            <w:hideMark/>
          </w:tcPr>
          <w:p w14:paraId="69E74BA0"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30"/>
            </w:r>
          </w:p>
        </w:tc>
        <w:tc>
          <w:tcPr>
            <w:tcW w:w="9214" w:type="dxa"/>
            <w:hideMark/>
          </w:tcPr>
          <w:p w14:paraId="694D1B21" w14:textId="77777777" w:rsidR="005E5F3E" w:rsidRPr="00F44D3E"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F44D3E">
              <w:rPr>
                <w:rFonts w:ascii="Times New Roman" w:eastAsia="標楷體" w:hAnsi="Times New Roman" w:cs="Arial" w:hint="eastAsia"/>
                <w:b/>
                <w:bCs/>
                <w:color w:val="000000"/>
                <w:kern w:val="0"/>
                <w:sz w:val="26"/>
                <w:szCs w:val="28"/>
              </w:rPr>
              <w:t>財政部</w:t>
            </w:r>
          </w:p>
          <w:p w14:paraId="4E16B14E" w14:textId="77777777" w:rsidR="005E5F3E" w:rsidRDefault="005E5F3E" w:rsidP="00C97469">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79CE1E3" w14:textId="77777777" w:rsidR="005E5F3E" w:rsidRDefault="005E5F3E"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F44D3E">
              <w:rPr>
                <w:rFonts w:ascii="Times New Roman" w:eastAsia="標楷體" w:hAnsi="Times New Roman" w:cs="Arial" w:hint="eastAsia"/>
                <w:color w:val="000000"/>
                <w:kern w:val="0"/>
                <w:sz w:val="26"/>
                <w:szCs w:val="26"/>
              </w:rPr>
              <w:t>關係企業為獨立法人，應個別</w:t>
            </w:r>
            <w:proofErr w:type="gramStart"/>
            <w:r w:rsidRPr="00F44D3E">
              <w:rPr>
                <w:rFonts w:ascii="Times New Roman" w:eastAsia="標楷體" w:hAnsi="Times New Roman" w:cs="Arial" w:hint="eastAsia"/>
                <w:color w:val="000000"/>
                <w:kern w:val="0"/>
                <w:sz w:val="26"/>
                <w:szCs w:val="26"/>
              </w:rPr>
              <w:t>適用產創條例</w:t>
            </w:r>
            <w:proofErr w:type="gramEnd"/>
            <w:r w:rsidRPr="00F44D3E">
              <w:rPr>
                <w:rFonts w:ascii="Times New Roman" w:eastAsia="標楷體" w:hAnsi="Times New Roman" w:cs="Arial" w:hint="eastAsia"/>
                <w:color w:val="000000"/>
                <w:kern w:val="0"/>
                <w:sz w:val="26"/>
                <w:szCs w:val="26"/>
              </w:rPr>
              <w:t>第</w:t>
            </w:r>
            <w:r w:rsidRPr="00F44D3E">
              <w:rPr>
                <w:rFonts w:ascii="Times New Roman" w:eastAsia="標楷體" w:hAnsi="Times New Roman" w:cs="Arial" w:hint="eastAsia"/>
                <w:color w:val="000000"/>
                <w:kern w:val="0"/>
                <w:sz w:val="26"/>
                <w:szCs w:val="26"/>
              </w:rPr>
              <w:t>23</w:t>
            </w:r>
            <w:r w:rsidRPr="00F44D3E">
              <w:rPr>
                <w:rFonts w:ascii="Times New Roman" w:eastAsia="標楷體" w:hAnsi="Times New Roman" w:cs="Arial" w:hint="eastAsia"/>
                <w:color w:val="000000"/>
                <w:kern w:val="0"/>
                <w:sz w:val="26"/>
                <w:szCs w:val="26"/>
              </w:rPr>
              <w:t>條之</w:t>
            </w:r>
            <w:r w:rsidRPr="00F44D3E">
              <w:rPr>
                <w:rFonts w:ascii="Times New Roman" w:eastAsia="標楷體" w:hAnsi="Times New Roman" w:cs="Arial" w:hint="eastAsia"/>
                <w:color w:val="000000"/>
                <w:kern w:val="0"/>
                <w:sz w:val="26"/>
                <w:szCs w:val="26"/>
              </w:rPr>
              <w:t>3</w:t>
            </w:r>
            <w:r w:rsidRPr="00F44D3E">
              <w:rPr>
                <w:rFonts w:ascii="Times New Roman" w:eastAsia="標楷體" w:hAnsi="Times New Roman" w:cs="Arial" w:hint="eastAsia"/>
                <w:color w:val="000000"/>
                <w:kern w:val="0"/>
                <w:sz w:val="26"/>
                <w:szCs w:val="26"/>
              </w:rPr>
              <w:t>規定</w:t>
            </w:r>
            <w:r>
              <w:rPr>
                <w:rFonts w:ascii="Times New Roman" w:eastAsia="標楷體" w:hAnsi="Times New Roman" w:cs="Arial" w:hint="eastAsia"/>
                <w:color w:val="000000"/>
                <w:kern w:val="0"/>
                <w:sz w:val="26"/>
                <w:szCs w:val="26"/>
              </w:rPr>
              <w:t>。</w:t>
            </w:r>
          </w:p>
          <w:p w14:paraId="3892B887" w14:textId="77777777" w:rsidR="005E5F3E" w:rsidRPr="00F44D3E" w:rsidRDefault="005E5F3E"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F44D3E">
              <w:rPr>
                <w:rFonts w:ascii="Times New Roman" w:eastAsia="標楷體" w:hAnsi="Times New Roman" w:cs="Arial" w:hint="eastAsia"/>
                <w:color w:val="000000"/>
                <w:kern w:val="0"/>
                <w:sz w:val="26"/>
                <w:szCs w:val="26"/>
              </w:rPr>
              <w:t>母、子公司或關係企業為獨立法人，應個別辦理所得稅申報並各自為納稅義務人，其未分配盈餘亦個別申報，並各自</w:t>
            </w:r>
            <w:proofErr w:type="gramStart"/>
            <w:r w:rsidRPr="00F44D3E">
              <w:rPr>
                <w:rFonts w:ascii="Times New Roman" w:eastAsia="標楷體" w:hAnsi="Times New Roman" w:cs="Arial" w:hint="eastAsia"/>
                <w:color w:val="000000"/>
                <w:kern w:val="0"/>
                <w:sz w:val="26"/>
                <w:szCs w:val="26"/>
              </w:rPr>
              <w:t>依產創條例</w:t>
            </w:r>
            <w:proofErr w:type="gramEnd"/>
            <w:r w:rsidRPr="00F44D3E">
              <w:rPr>
                <w:rFonts w:ascii="Times New Roman" w:eastAsia="標楷體" w:hAnsi="Times New Roman" w:cs="Arial" w:hint="eastAsia"/>
                <w:color w:val="000000"/>
                <w:kern w:val="0"/>
                <w:sz w:val="26"/>
                <w:szCs w:val="26"/>
              </w:rPr>
              <w:t>第</w:t>
            </w:r>
            <w:r w:rsidRPr="00F44D3E">
              <w:rPr>
                <w:rFonts w:ascii="Times New Roman" w:eastAsia="標楷體" w:hAnsi="Times New Roman" w:cs="Arial" w:hint="eastAsia"/>
                <w:color w:val="000000"/>
                <w:kern w:val="0"/>
                <w:sz w:val="26"/>
                <w:szCs w:val="26"/>
              </w:rPr>
              <w:t>23</w:t>
            </w:r>
            <w:r w:rsidRPr="00F44D3E">
              <w:rPr>
                <w:rFonts w:ascii="Times New Roman" w:eastAsia="標楷體" w:hAnsi="Times New Roman" w:cs="Arial" w:hint="eastAsia"/>
                <w:color w:val="000000"/>
                <w:kern w:val="0"/>
                <w:sz w:val="26"/>
                <w:szCs w:val="26"/>
              </w:rPr>
              <w:t>條之</w:t>
            </w:r>
            <w:r w:rsidRPr="00F44D3E">
              <w:rPr>
                <w:rFonts w:ascii="Times New Roman" w:eastAsia="標楷體" w:hAnsi="Times New Roman" w:cs="Arial" w:hint="eastAsia"/>
                <w:color w:val="000000"/>
                <w:kern w:val="0"/>
                <w:sz w:val="26"/>
                <w:szCs w:val="26"/>
              </w:rPr>
              <w:t>3</w:t>
            </w:r>
            <w:r w:rsidRPr="00F44D3E">
              <w:rPr>
                <w:rFonts w:ascii="Times New Roman" w:eastAsia="標楷體" w:hAnsi="Times New Roman" w:cs="Arial" w:hint="eastAsia"/>
                <w:color w:val="000000"/>
                <w:kern w:val="0"/>
                <w:sz w:val="26"/>
                <w:szCs w:val="26"/>
              </w:rPr>
              <w:t>規定計算實質投資得減除金額，尚不得減除其他關係企業之實質投資項目。</w:t>
            </w:r>
          </w:p>
          <w:p w14:paraId="6FBDDE91" w14:textId="77777777" w:rsidR="005E5F3E" w:rsidRPr="00ED4851" w:rsidRDefault="005E5F3E" w:rsidP="00C97469">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F44D3E">
              <w:rPr>
                <w:rFonts w:ascii="Times New Roman" w:eastAsia="標楷體" w:hAnsi="Times New Roman" w:cs="Arial" w:hint="eastAsia"/>
                <w:color w:val="000000"/>
                <w:kern w:val="0"/>
                <w:sz w:val="26"/>
                <w:szCs w:val="26"/>
              </w:rPr>
              <w:t>產業創新條例第</w:t>
            </w:r>
            <w:r w:rsidRPr="00F44D3E">
              <w:rPr>
                <w:rFonts w:ascii="Times New Roman" w:eastAsia="標楷體" w:hAnsi="Times New Roman" w:cs="Arial" w:hint="eastAsia"/>
                <w:color w:val="000000"/>
                <w:kern w:val="0"/>
                <w:sz w:val="26"/>
                <w:szCs w:val="26"/>
              </w:rPr>
              <w:t>23</w:t>
            </w:r>
            <w:r w:rsidRPr="00F44D3E">
              <w:rPr>
                <w:rFonts w:ascii="Times New Roman" w:eastAsia="標楷體" w:hAnsi="Times New Roman" w:cs="Arial" w:hint="eastAsia"/>
                <w:color w:val="000000"/>
                <w:kern w:val="0"/>
                <w:sz w:val="26"/>
                <w:szCs w:val="26"/>
              </w:rPr>
              <w:t>條之</w:t>
            </w:r>
            <w:r w:rsidRPr="00F44D3E">
              <w:rPr>
                <w:rFonts w:ascii="Times New Roman" w:eastAsia="標楷體" w:hAnsi="Times New Roman" w:cs="Arial" w:hint="eastAsia"/>
                <w:color w:val="000000"/>
                <w:kern w:val="0"/>
                <w:sz w:val="26"/>
                <w:szCs w:val="26"/>
              </w:rPr>
              <w:t>3</w:t>
            </w:r>
          </w:p>
        </w:tc>
        <w:tc>
          <w:tcPr>
            <w:tcW w:w="1417" w:type="dxa"/>
            <w:noWrap/>
          </w:tcPr>
          <w:p w14:paraId="62106479"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1347014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29EB6347"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7571777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464C7528"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22501251"/>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7E375B9D"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07732175"/>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4FE548A7" w14:textId="77777777" w:rsidTr="00C97469">
        <w:tc>
          <w:tcPr>
            <w:tcW w:w="1418" w:type="dxa"/>
            <w:vMerge w:val="restart"/>
            <w:shd w:val="clear" w:color="FFFFFF" w:fill="FFFFFF"/>
            <w:hideMark/>
          </w:tcPr>
          <w:p w14:paraId="4166442F" w14:textId="77777777" w:rsidR="005E5F3E" w:rsidRPr="00ED4851" w:rsidRDefault="005E5F3E"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8"/>
              </w:rPr>
            </w:pPr>
            <w:r w:rsidRPr="00ED4851">
              <w:rPr>
                <w:rFonts w:ascii="Times New Roman" w:eastAsia="標楷體" w:hAnsi="Times New Roman" w:cs="Arial" w:hint="eastAsia"/>
                <w:b/>
                <w:bCs/>
                <w:color w:val="000000"/>
                <w:kern w:val="0"/>
                <w:sz w:val="26"/>
                <w:szCs w:val="28"/>
              </w:rPr>
              <w:t>二、檢討貨物稅與印花稅，落實賦稅公平</w:t>
            </w:r>
          </w:p>
        </w:tc>
        <w:tc>
          <w:tcPr>
            <w:tcW w:w="3402" w:type="dxa"/>
            <w:hideMark/>
          </w:tcPr>
          <w:p w14:paraId="0B52988B"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proofErr w:type="gramStart"/>
            <w:r w:rsidRPr="007D7972">
              <w:rPr>
                <w:rFonts w:ascii="Times New Roman" w:eastAsia="標楷體" w:hAnsi="Times New Roman" w:cs="Arial"/>
                <w:b/>
                <w:bCs/>
                <w:color w:val="000000"/>
                <w:kern w:val="0"/>
                <w:sz w:val="26"/>
                <w:szCs w:val="28"/>
              </w:rPr>
              <w:t>一</w:t>
            </w:r>
            <w:proofErr w:type="gramEnd"/>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檢討並廢除貨物稅，一則落實</w:t>
            </w:r>
            <w:proofErr w:type="gramStart"/>
            <w:r>
              <w:rPr>
                <w:rFonts w:ascii="Times New Roman" w:eastAsia="標楷體" w:hAnsi="Times New Roman" w:cs="Arial"/>
                <w:b/>
                <w:bCs/>
                <w:color w:val="000000"/>
                <w:kern w:val="0"/>
                <w:sz w:val="26"/>
                <w:szCs w:val="28"/>
              </w:rPr>
              <w:t>臺</w:t>
            </w:r>
            <w:proofErr w:type="gramEnd"/>
            <w:r w:rsidRPr="007D7972">
              <w:rPr>
                <w:rFonts w:ascii="Times New Roman" w:eastAsia="標楷體" w:hAnsi="Times New Roman" w:cs="Arial"/>
                <w:b/>
                <w:bCs/>
                <w:color w:val="000000"/>
                <w:kern w:val="0"/>
                <w:sz w:val="26"/>
                <w:szCs w:val="28"/>
              </w:rPr>
              <w:t>美與對外貿易的對等與公平，二則維護不同產業別之間的稅賦公平待遇。</w:t>
            </w:r>
          </w:p>
        </w:tc>
        <w:tc>
          <w:tcPr>
            <w:tcW w:w="709" w:type="dxa"/>
            <w:hideMark/>
          </w:tcPr>
          <w:p w14:paraId="7AB2BB53"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35C94D26" w14:textId="77777777" w:rsidR="005E5F3E" w:rsidRPr="006C16D7"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6C16D7">
              <w:rPr>
                <w:rFonts w:ascii="Times New Roman" w:eastAsia="標楷體" w:hAnsi="Times New Roman" w:cs="Arial" w:hint="eastAsia"/>
                <w:b/>
                <w:bCs/>
                <w:color w:val="000000"/>
                <w:kern w:val="0"/>
                <w:sz w:val="26"/>
                <w:szCs w:val="28"/>
              </w:rPr>
              <w:t>財政部</w:t>
            </w:r>
          </w:p>
          <w:p w14:paraId="06A17729" w14:textId="77777777" w:rsidR="005E5F3E" w:rsidRDefault="005E5F3E" w:rsidP="00C97469">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7B6516E3" w14:textId="77777777" w:rsidR="005E5F3E" w:rsidRDefault="005E5F3E" w:rsidP="00C97469">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貨物稅稅制概況</w:t>
            </w:r>
          </w:p>
          <w:p w14:paraId="702C0F1A" w14:textId="77777777" w:rsidR="005E5F3E" w:rsidRPr="00541B48"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541B48">
              <w:rPr>
                <w:rFonts w:ascii="Times New Roman" w:eastAsia="標楷體" w:hAnsi="Times New Roman" w:cs="Arial" w:hint="eastAsia"/>
                <w:color w:val="000000"/>
                <w:kern w:val="0"/>
                <w:sz w:val="26"/>
                <w:szCs w:val="26"/>
              </w:rPr>
              <w:t>貨物稅係就「特定貨物」課徵之特種消費稅，具有財政收入及特定政策功能，主要係對耗用能源</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如油氣類、車輛類及電器類</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、具外部</w:t>
            </w:r>
            <w:proofErr w:type="gramStart"/>
            <w:r w:rsidRPr="00541B48">
              <w:rPr>
                <w:rFonts w:ascii="Times New Roman" w:eastAsia="標楷體" w:hAnsi="Times New Roman" w:cs="Arial" w:hint="eastAsia"/>
                <w:color w:val="000000"/>
                <w:kern w:val="0"/>
                <w:sz w:val="26"/>
                <w:szCs w:val="26"/>
              </w:rPr>
              <w:t>不</w:t>
            </w:r>
            <w:proofErr w:type="gramEnd"/>
            <w:r w:rsidRPr="00541B48">
              <w:rPr>
                <w:rFonts w:ascii="Times New Roman" w:eastAsia="標楷體" w:hAnsi="Times New Roman" w:cs="Arial" w:hint="eastAsia"/>
                <w:color w:val="000000"/>
                <w:kern w:val="0"/>
                <w:sz w:val="26"/>
                <w:szCs w:val="26"/>
              </w:rPr>
              <w:t>利益</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如水泥、橡膠輪胎、平板玻璃</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及影響健康</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如飲料品</w:t>
            </w:r>
            <w:r w:rsidRPr="00BC4C96">
              <w:rPr>
                <w:rFonts w:ascii="Times New Roman" w:eastAsia="標楷體" w:hAnsi="Times New Roman" w:cs="Arial" w:hint="eastAsia"/>
                <w:color w:val="000000"/>
                <w:kern w:val="0"/>
                <w:sz w:val="26"/>
                <w:szCs w:val="26"/>
              </w:rPr>
              <w:t>）</w:t>
            </w:r>
            <w:r w:rsidRPr="00541B48">
              <w:rPr>
                <w:rFonts w:ascii="Times New Roman" w:eastAsia="標楷體" w:hAnsi="Times New Roman" w:cs="Arial" w:hint="eastAsia"/>
                <w:color w:val="000000"/>
                <w:kern w:val="0"/>
                <w:sz w:val="26"/>
                <w:szCs w:val="26"/>
              </w:rPr>
              <w:t>之貨物課稅，世界各國多有課</w:t>
            </w:r>
            <w:proofErr w:type="gramStart"/>
            <w:r w:rsidRPr="00541B48">
              <w:rPr>
                <w:rFonts w:ascii="Times New Roman" w:eastAsia="標楷體" w:hAnsi="Times New Roman" w:cs="Arial" w:hint="eastAsia"/>
                <w:color w:val="000000"/>
                <w:kern w:val="0"/>
                <w:sz w:val="26"/>
                <w:szCs w:val="26"/>
              </w:rPr>
              <w:t>徵</w:t>
            </w:r>
            <w:proofErr w:type="gramEnd"/>
            <w:r w:rsidRPr="00541B48">
              <w:rPr>
                <w:rFonts w:ascii="Times New Roman" w:eastAsia="標楷體" w:hAnsi="Times New Roman" w:cs="Arial" w:hint="eastAsia"/>
                <w:color w:val="000000"/>
                <w:kern w:val="0"/>
                <w:sz w:val="26"/>
                <w:szCs w:val="26"/>
              </w:rPr>
              <w:t>。</w:t>
            </w:r>
          </w:p>
          <w:p w14:paraId="654C5666" w14:textId="77777777" w:rsidR="005E5F3E" w:rsidRDefault="005E5F3E" w:rsidP="00C97469">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配合產業政策，持續提供貨物稅租稅優惠</w:t>
            </w:r>
          </w:p>
          <w:p w14:paraId="3C9B6DEF" w14:textId="77777777" w:rsidR="005E5F3E" w:rsidRPr="00865FE5"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865FE5">
              <w:rPr>
                <w:rFonts w:ascii="Times New Roman" w:eastAsia="標楷體" w:hAnsi="Times New Roman" w:cs="Arial" w:hint="eastAsia"/>
                <w:color w:val="000000"/>
                <w:kern w:val="0"/>
                <w:sz w:val="26"/>
                <w:szCs w:val="26"/>
              </w:rPr>
              <w:t>近年貨物稅轉型為「改變消費行為」之政策工具，依政策目的提供不同貨物稅減免措施，以鼓勵綠色消費、</w:t>
            </w:r>
            <w:proofErr w:type="gramStart"/>
            <w:r w:rsidRPr="00865FE5">
              <w:rPr>
                <w:rFonts w:ascii="Times New Roman" w:eastAsia="標楷體" w:hAnsi="Times New Roman" w:cs="Arial" w:hint="eastAsia"/>
                <w:color w:val="000000"/>
                <w:kern w:val="0"/>
                <w:sz w:val="26"/>
                <w:szCs w:val="26"/>
              </w:rPr>
              <w:t>節能減碳及</w:t>
            </w:r>
            <w:proofErr w:type="gramEnd"/>
            <w:r w:rsidRPr="00865FE5">
              <w:rPr>
                <w:rFonts w:ascii="Times New Roman" w:eastAsia="標楷體" w:hAnsi="Times New Roman" w:cs="Arial" w:hint="eastAsia"/>
                <w:color w:val="000000"/>
                <w:kern w:val="0"/>
                <w:sz w:val="26"/>
                <w:szCs w:val="26"/>
              </w:rPr>
              <w:t>促進相關產業轉型。近期推動重要租稅優惠措施如下：</w:t>
            </w:r>
          </w:p>
          <w:p w14:paraId="31D52C5D" w14:textId="77777777" w:rsidR="005E5F3E" w:rsidRPr="006C16D7"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A.2025</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6</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13</w:t>
            </w:r>
            <w:r w:rsidRPr="006C16D7">
              <w:rPr>
                <w:rFonts w:ascii="Times New Roman" w:eastAsia="標楷體" w:hAnsi="Times New Roman" w:cs="Arial" w:hint="eastAsia"/>
                <w:color w:val="000000"/>
                <w:kern w:val="0"/>
                <w:sz w:val="26"/>
                <w:szCs w:val="26"/>
              </w:rPr>
              <w:t>日修正公布貨物稅條例第</w:t>
            </w:r>
            <w:r w:rsidRPr="006C16D7">
              <w:rPr>
                <w:rFonts w:ascii="Times New Roman" w:eastAsia="標楷體" w:hAnsi="Times New Roman" w:cs="Arial" w:hint="eastAsia"/>
                <w:color w:val="000000"/>
                <w:kern w:val="0"/>
                <w:sz w:val="26"/>
                <w:szCs w:val="26"/>
              </w:rPr>
              <w:t>11</w:t>
            </w:r>
            <w:r w:rsidRPr="006C16D7">
              <w:rPr>
                <w:rFonts w:ascii="Times New Roman" w:eastAsia="標楷體" w:hAnsi="Times New Roman" w:cs="Arial" w:hint="eastAsia"/>
                <w:color w:val="000000"/>
                <w:kern w:val="0"/>
                <w:sz w:val="26"/>
                <w:szCs w:val="26"/>
              </w:rPr>
              <w:t>條之</w:t>
            </w:r>
            <w:r w:rsidRPr="006C16D7">
              <w:rPr>
                <w:rFonts w:ascii="Times New Roman" w:eastAsia="標楷體" w:hAnsi="Times New Roman" w:cs="Arial" w:hint="eastAsia"/>
                <w:color w:val="000000"/>
                <w:kern w:val="0"/>
                <w:sz w:val="26"/>
                <w:szCs w:val="26"/>
              </w:rPr>
              <w:t>1</w:t>
            </w:r>
            <w:r w:rsidRPr="006C16D7">
              <w:rPr>
                <w:rFonts w:ascii="Times New Roman" w:eastAsia="標楷體" w:hAnsi="Times New Roman" w:cs="Arial" w:hint="eastAsia"/>
                <w:color w:val="000000"/>
                <w:kern w:val="0"/>
                <w:sz w:val="26"/>
                <w:szCs w:val="26"/>
              </w:rPr>
              <w:t>，延長購買節能電器退還減徵貨物稅至</w:t>
            </w:r>
            <w:r w:rsidRPr="006C16D7">
              <w:rPr>
                <w:rFonts w:ascii="Times New Roman" w:eastAsia="標楷體" w:hAnsi="Times New Roman" w:cs="Arial" w:hint="eastAsia"/>
                <w:color w:val="000000"/>
                <w:kern w:val="0"/>
                <w:sz w:val="26"/>
                <w:szCs w:val="26"/>
              </w:rPr>
              <w:t>2029</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12</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31</w:t>
            </w:r>
            <w:r w:rsidRPr="006C16D7">
              <w:rPr>
                <w:rFonts w:ascii="Times New Roman" w:eastAsia="標楷體" w:hAnsi="Times New Roman" w:cs="Arial" w:hint="eastAsia"/>
                <w:color w:val="000000"/>
                <w:kern w:val="0"/>
                <w:sz w:val="26"/>
                <w:szCs w:val="26"/>
              </w:rPr>
              <w:t>日，以鼓勵民眾綠色消費，達成</w:t>
            </w:r>
            <w:proofErr w:type="gramStart"/>
            <w:r w:rsidRPr="006C16D7">
              <w:rPr>
                <w:rFonts w:ascii="Times New Roman" w:eastAsia="標楷體" w:hAnsi="Times New Roman" w:cs="Arial" w:hint="eastAsia"/>
                <w:color w:val="000000"/>
                <w:kern w:val="0"/>
                <w:sz w:val="26"/>
                <w:szCs w:val="26"/>
              </w:rPr>
              <w:t>節能減碳目標</w:t>
            </w:r>
            <w:proofErr w:type="gramEnd"/>
            <w:r w:rsidRPr="006C16D7">
              <w:rPr>
                <w:rFonts w:ascii="Times New Roman" w:eastAsia="標楷體" w:hAnsi="Times New Roman" w:cs="Arial" w:hint="eastAsia"/>
                <w:color w:val="000000"/>
                <w:kern w:val="0"/>
                <w:sz w:val="26"/>
                <w:szCs w:val="26"/>
              </w:rPr>
              <w:t>。</w:t>
            </w:r>
          </w:p>
          <w:p w14:paraId="5A13AAA6" w14:textId="77777777" w:rsidR="005E5F3E" w:rsidRPr="006C16D7"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B.2025</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8</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19</w:t>
            </w:r>
            <w:r w:rsidRPr="006C16D7">
              <w:rPr>
                <w:rFonts w:ascii="Times New Roman" w:eastAsia="標楷體" w:hAnsi="Times New Roman" w:cs="Arial" w:hint="eastAsia"/>
                <w:color w:val="000000"/>
                <w:kern w:val="0"/>
                <w:sz w:val="26"/>
                <w:szCs w:val="26"/>
              </w:rPr>
              <w:t>日修正公布貨物稅條例第</w:t>
            </w:r>
            <w:r w:rsidRPr="006C16D7">
              <w:rPr>
                <w:rFonts w:ascii="Times New Roman" w:eastAsia="標楷體" w:hAnsi="Times New Roman" w:cs="Arial" w:hint="eastAsia"/>
                <w:color w:val="000000"/>
                <w:kern w:val="0"/>
                <w:sz w:val="26"/>
                <w:szCs w:val="26"/>
              </w:rPr>
              <w:t>8</w:t>
            </w:r>
            <w:r w:rsidRPr="006C16D7">
              <w:rPr>
                <w:rFonts w:ascii="Times New Roman" w:eastAsia="標楷體" w:hAnsi="Times New Roman" w:cs="Arial" w:hint="eastAsia"/>
                <w:color w:val="000000"/>
                <w:kern w:val="0"/>
                <w:sz w:val="26"/>
                <w:szCs w:val="26"/>
              </w:rPr>
              <w:t>條及第</w:t>
            </w:r>
            <w:r w:rsidRPr="006C16D7">
              <w:rPr>
                <w:rFonts w:ascii="Times New Roman" w:eastAsia="標楷體" w:hAnsi="Times New Roman" w:cs="Arial" w:hint="eastAsia"/>
                <w:color w:val="000000"/>
                <w:kern w:val="0"/>
                <w:sz w:val="26"/>
                <w:szCs w:val="26"/>
              </w:rPr>
              <w:t>11</w:t>
            </w:r>
            <w:r w:rsidRPr="006C16D7">
              <w:rPr>
                <w:rFonts w:ascii="Times New Roman" w:eastAsia="標楷體" w:hAnsi="Times New Roman" w:cs="Arial" w:hint="eastAsia"/>
                <w:color w:val="000000"/>
                <w:kern w:val="0"/>
                <w:sz w:val="26"/>
                <w:szCs w:val="26"/>
              </w:rPr>
              <w:t>條，增訂無添加糖飲料品免徵貨物稅及刪除彩色電視機、錄影機、電唱機、錄音機</w:t>
            </w:r>
            <w:r w:rsidRPr="006C16D7">
              <w:rPr>
                <w:rFonts w:ascii="Times New Roman" w:eastAsia="標楷體" w:hAnsi="Times New Roman" w:cs="Arial" w:hint="eastAsia"/>
                <w:color w:val="000000"/>
                <w:kern w:val="0"/>
                <w:sz w:val="26"/>
                <w:szCs w:val="26"/>
              </w:rPr>
              <w:t>4</w:t>
            </w:r>
            <w:r w:rsidRPr="006C16D7">
              <w:rPr>
                <w:rFonts w:ascii="Times New Roman" w:eastAsia="標楷體" w:hAnsi="Times New Roman" w:cs="Arial" w:hint="eastAsia"/>
                <w:color w:val="000000"/>
                <w:kern w:val="0"/>
                <w:sz w:val="26"/>
                <w:szCs w:val="26"/>
              </w:rPr>
              <w:t>項電器類貨物稅，可兼顧國人健康及節省民眾生活支出。</w:t>
            </w:r>
          </w:p>
          <w:p w14:paraId="3F868B5B" w14:textId="77777777" w:rsidR="005E5F3E" w:rsidRPr="006C16D7"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C.2025</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9</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5</w:t>
            </w:r>
            <w:r w:rsidRPr="006C16D7">
              <w:rPr>
                <w:rFonts w:ascii="Times New Roman" w:eastAsia="標楷體" w:hAnsi="Times New Roman" w:cs="Arial" w:hint="eastAsia"/>
                <w:color w:val="000000"/>
                <w:kern w:val="0"/>
                <w:sz w:val="26"/>
                <w:szCs w:val="26"/>
              </w:rPr>
              <w:t>日修正公布貨物稅條例第</w:t>
            </w:r>
            <w:r w:rsidRPr="006C16D7">
              <w:rPr>
                <w:rFonts w:ascii="Times New Roman" w:eastAsia="標楷體" w:hAnsi="Times New Roman" w:cs="Arial" w:hint="eastAsia"/>
                <w:color w:val="000000"/>
                <w:kern w:val="0"/>
                <w:sz w:val="26"/>
                <w:szCs w:val="26"/>
              </w:rPr>
              <w:t>12</w:t>
            </w:r>
            <w:r w:rsidRPr="006C16D7">
              <w:rPr>
                <w:rFonts w:ascii="Times New Roman" w:eastAsia="標楷體" w:hAnsi="Times New Roman" w:cs="Arial" w:hint="eastAsia"/>
                <w:color w:val="000000"/>
                <w:kern w:val="0"/>
                <w:sz w:val="26"/>
                <w:szCs w:val="26"/>
              </w:rPr>
              <w:t>條之</w:t>
            </w:r>
            <w:r w:rsidRPr="006C16D7">
              <w:rPr>
                <w:rFonts w:ascii="Times New Roman" w:eastAsia="標楷體" w:hAnsi="Times New Roman" w:cs="Arial" w:hint="eastAsia"/>
                <w:color w:val="000000"/>
                <w:kern w:val="0"/>
                <w:sz w:val="26"/>
                <w:szCs w:val="26"/>
              </w:rPr>
              <w:t>5</w:t>
            </w:r>
            <w:r w:rsidRPr="006C16D7">
              <w:rPr>
                <w:rFonts w:ascii="Times New Roman" w:eastAsia="標楷體" w:hAnsi="Times New Roman" w:cs="Arial" w:hint="eastAsia"/>
                <w:color w:val="000000"/>
                <w:kern w:val="0"/>
                <w:sz w:val="26"/>
                <w:szCs w:val="26"/>
              </w:rPr>
              <w:t>，增訂新購</w:t>
            </w:r>
            <w:r w:rsidRPr="006C16D7">
              <w:rPr>
                <w:rFonts w:ascii="Times New Roman" w:eastAsia="標楷體" w:hAnsi="Times New Roman" w:cs="Arial" w:hint="eastAsia"/>
                <w:color w:val="000000"/>
                <w:kern w:val="0"/>
                <w:sz w:val="26"/>
                <w:szCs w:val="26"/>
              </w:rPr>
              <w:t>2,000cc</w:t>
            </w:r>
            <w:r w:rsidRPr="006C16D7">
              <w:rPr>
                <w:rFonts w:ascii="Times New Roman" w:eastAsia="標楷體" w:hAnsi="Times New Roman" w:cs="Arial" w:hint="eastAsia"/>
                <w:color w:val="000000"/>
                <w:kern w:val="0"/>
                <w:sz w:val="26"/>
                <w:szCs w:val="26"/>
              </w:rPr>
              <w:t>以下小</w:t>
            </w:r>
            <w:r w:rsidRPr="006C16D7">
              <w:rPr>
                <w:rFonts w:ascii="Times New Roman" w:eastAsia="標楷體" w:hAnsi="Times New Roman" w:cs="Arial" w:hint="eastAsia"/>
                <w:color w:val="000000"/>
                <w:kern w:val="0"/>
                <w:sz w:val="26"/>
                <w:szCs w:val="26"/>
              </w:rPr>
              <w:lastRenderedPageBreak/>
              <w:t>客車、</w:t>
            </w:r>
            <w:r w:rsidRPr="006C16D7">
              <w:rPr>
                <w:rFonts w:ascii="Times New Roman" w:eastAsia="標楷體" w:hAnsi="Times New Roman" w:cs="Arial" w:hint="eastAsia"/>
                <w:color w:val="000000"/>
                <w:kern w:val="0"/>
                <w:sz w:val="26"/>
                <w:szCs w:val="26"/>
              </w:rPr>
              <w:t>150cc</w:t>
            </w:r>
            <w:r w:rsidRPr="006C16D7">
              <w:rPr>
                <w:rFonts w:ascii="Times New Roman" w:eastAsia="標楷體" w:hAnsi="Times New Roman" w:cs="Arial" w:hint="eastAsia"/>
                <w:color w:val="000000"/>
                <w:kern w:val="0"/>
                <w:sz w:val="26"/>
                <w:szCs w:val="26"/>
              </w:rPr>
              <w:t>以下機車，每輛最高減徵貨物稅</w:t>
            </w:r>
            <w:r w:rsidRPr="006C16D7">
              <w:rPr>
                <w:rFonts w:ascii="Times New Roman" w:eastAsia="標楷體" w:hAnsi="Times New Roman" w:cs="Arial" w:hint="eastAsia"/>
                <w:color w:val="000000"/>
                <w:kern w:val="0"/>
                <w:sz w:val="26"/>
                <w:szCs w:val="26"/>
              </w:rPr>
              <w:t>5</w:t>
            </w:r>
            <w:r w:rsidRPr="006C16D7">
              <w:rPr>
                <w:rFonts w:ascii="Times New Roman" w:eastAsia="標楷體" w:hAnsi="Times New Roman" w:cs="Arial" w:hint="eastAsia"/>
                <w:color w:val="000000"/>
                <w:kern w:val="0"/>
                <w:sz w:val="26"/>
                <w:szCs w:val="26"/>
              </w:rPr>
              <w:t>萬元、</w:t>
            </w:r>
            <w:r w:rsidRPr="006C16D7">
              <w:rPr>
                <w:rFonts w:ascii="Times New Roman" w:eastAsia="標楷體" w:hAnsi="Times New Roman" w:cs="Arial" w:hint="eastAsia"/>
                <w:color w:val="000000"/>
                <w:kern w:val="0"/>
                <w:sz w:val="26"/>
                <w:szCs w:val="26"/>
              </w:rPr>
              <w:t>2</w:t>
            </w:r>
            <w:r w:rsidRPr="006C16D7">
              <w:rPr>
                <w:rFonts w:ascii="Times New Roman" w:eastAsia="標楷體" w:hAnsi="Times New Roman" w:cs="Arial" w:hint="eastAsia"/>
                <w:color w:val="000000"/>
                <w:kern w:val="0"/>
                <w:sz w:val="26"/>
                <w:szCs w:val="26"/>
              </w:rPr>
              <w:t>千元，並延長中古汽機車汰舊換新減徵退還貨物稅，二措施均實施至</w:t>
            </w:r>
            <w:r w:rsidRPr="006C16D7">
              <w:rPr>
                <w:rFonts w:ascii="Times New Roman" w:eastAsia="標楷體" w:hAnsi="Times New Roman" w:cs="Arial" w:hint="eastAsia"/>
                <w:color w:val="000000"/>
                <w:kern w:val="0"/>
                <w:sz w:val="26"/>
                <w:szCs w:val="26"/>
              </w:rPr>
              <w:t>2030</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12</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31</w:t>
            </w:r>
            <w:r w:rsidRPr="006C16D7">
              <w:rPr>
                <w:rFonts w:ascii="Times New Roman" w:eastAsia="標楷體" w:hAnsi="Times New Roman" w:cs="Arial" w:hint="eastAsia"/>
                <w:color w:val="000000"/>
                <w:kern w:val="0"/>
                <w:sz w:val="26"/>
                <w:szCs w:val="26"/>
              </w:rPr>
              <w:t>日，可活絡車市買氣、振興內需市場，促進車輛相關產業發展。</w:t>
            </w:r>
            <w:r w:rsidRPr="006C16D7">
              <w:rPr>
                <w:rFonts w:ascii="Times New Roman" w:eastAsia="標楷體" w:hAnsi="Times New Roman" w:cs="Arial" w:hint="eastAsia"/>
                <w:color w:val="000000"/>
                <w:kern w:val="0"/>
                <w:sz w:val="26"/>
                <w:szCs w:val="26"/>
              </w:rPr>
              <w:t xml:space="preserve"> </w:t>
            </w:r>
          </w:p>
          <w:p w14:paraId="279CEEDD" w14:textId="77777777" w:rsidR="005E5F3E" w:rsidRPr="006C16D7" w:rsidRDefault="005E5F3E" w:rsidP="00C97469">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未來規劃推動租稅優惠措施</w:t>
            </w:r>
          </w:p>
          <w:p w14:paraId="4A844EBB" w14:textId="77777777" w:rsidR="005E5F3E" w:rsidRPr="006C16D7"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6C16D7">
              <w:rPr>
                <w:rFonts w:ascii="Times New Roman" w:eastAsia="標楷體" w:hAnsi="Times New Roman" w:cs="Arial" w:hint="eastAsia"/>
                <w:color w:val="000000"/>
                <w:kern w:val="0"/>
                <w:sz w:val="26"/>
                <w:szCs w:val="26"/>
              </w:rPr>
              <w:t>為實現</w:t>
            </w:r>
            <w:proofErr w:type="gramStart"/>
            <w:r w:rsidRPr="006C16D7">
              <w:rPr>
                <w:rFonts w:ascii="Times New Roman" w:eastAsia="標楷體" w:hAnsi="Times New Roman" w:cs="Arial" w:hint="eastAsia"/>
                <w:color w:val="000000"/>
                <w:kern w:val="0"/>
                <w:sz w:val="26"/>
                <w:szCs w:val="26"/>
              </w:rPr>
              <w:t>政府綠能科技</w:t>
            </w:r>
            <w:proofErr w:type="gramEnd"/>
            <w:r w:rsidRPr="006C16D7">
              <w:rPr>
                <w:rFonts w:ascii="Times New Roman" w:eastAsia="標楷體" w:hAnsi="Times New Roman" w:cs="Arial" w:hint="eastAsia"/>
                <w:color w:val="000000"/>
                <w:kern w:val="0"/>
                <w:sz w:val="26"/>
                <w:szCs w:val="26"/>
              </w:rPr>
              <w:t>創新產業願景，鼓勵民眾購買低污染車輛，財政部擬具貨物稅條例第</w:t>
            </w:r>
            <w:r w:rsidRPr="006C16D7">
              <w:rPr>
                <w:rFonts w:ascii="Times New Roman" w:eastAsia="標楷體" w:hAnsi="Times New Roman" w:cs="Arial" w:hint="eastAsia"/>
                <w:color w:val="000000"/>
                <w:kern w:val="0"/>
                <w:sz w:val="26"/>
                <w:szCs w:val="26"/>
              </w:rPr>
              <w:t>12</w:t>
            </w:r>
            <w:r w:rsidRPr="006C16D7">
              <w:rPr>
                <w:rFonts w:ascii="Times New Roman" w:eastAsia="標楷體" w:hAnsi="Times New Roman" w:cs="Arial" w:hint="eastAsia"/>
                <w:color w:val="000000"/>
                <w:kern w:val="0"/>
                <w:sz w:val="26"/>
                <w:szCs w:val="26"/>
              </w:rPr>
              <w:t>條之</w:t>
            </w:r>
            <w:r w:rsidRPr="006C16D7">
              <w:rPr>
                <w:rFonts w:ascii="Times New Roman" w:eastAsia="標楷體" w:hAnsi="Times New Roman" w:cs="Arial" w:hint="eastAsia"/>
                <w:color w:val="000000"/>
                <w:kern w:val="0"/>
                <w:sz w:val="26"/>
                <w:szCs w:val="26"/>
              </w:rPr>
              <w:t>3</w:t>
            </w:r>
            <w:r w:rsidRPr="006C16D7">
              <w:rPr>
                <w:rFonts w:ascii="Times New Roman" w:eastAsia="標楷體" w:hAnsi="Times New Roman" w:cs="Arial" w:hint="eastAsia"/>
                <w:color w:val="000000"/>
                <w:kern w:val="0"/>
                <w:sz w:val="26"/>
                <w:szCs w:val="26"/>
              </w:rPr>
              <w:t>修正草案，延長電動車輛減免</w:t>
            </w:r>
            <w:proofErr w:type="gramStart"/>
            <w:r w:rsidRPr="006C16D7">
              <w:rPr>
                <w:rFonts w:ascii="Times New Roman" w:eastAsia="標楷體" w:hAnsi="Times New Roman" w:cs="Arial" w:hint="eastAsia"/>
                <w:color w:val="000000"/>
                <w:kern w:val="0"/>
                <w:sz w:val="26"/>
                <w:szCs w:val="26"/>
              </w:rPr>
              <w:t>徵</w:t>
            </w:r>
            <w:proofErr w:type="gramEnd"/>
            <w:r w:rsidRPr="006C16D7">
              <w:rPr>
                <w:rFonts w:ascii="Times New Roman" w:eastAsia="標楷體" w:hAnsi="Times New Roman" w:cs="Arial" w:hint="eastAsia"/>
                <w:color w:val="000000"/>
                <w:kern w:val="0"/>
                <w:sz w:val="26"/>
                <w:szCs w:val="26"/>
              </w:rPr>
              <w:t>貨物稅實施期間至</w:t>
            </w:r>
            <w:r w:rsidRPr="006C16D7">
              <w:rPr>
                <w:rFonts w:ascii="Times New Roman" w:eastAsia="標楷體" w:hAnsi="Times New Roman" w:cs="Arial" w:hint="eastAsia"/>
                <w:color w:val="000000"/>
                <w:kern w:val="0"/>
                <w:sz w:val="26"/>
                <w:szCs w:val="26"/>
              </w:rPr>
              <w:t>2030</w:t>
            </w:r>
            <w:r w:rsidRPr="006C16D7">
              <w:rPr>
                <w:rFonts w:ascii="Times New Roman" w:eastAsia="標楷體" w:hAnsi="Times New Roman" w:cs="Arial" w:hint="eastAsia"/>
                <w:color w:val="000000"/>
                <w:kern w:val="0"/>
                <w:sz w:val="26"/>
                <w:szCs w:val="26"/>
              </w:rPr>
              <w:t>年</w:t>
            </w:r>
            <w:r w:rsidRPr="006C16D7">
              <w:rPr>
                <w:rFonts w:ascii="Times New Roman" w:eastAsia="標楷體" w:hAnsi="Times New Roman" w:cs="Arial" w:hint="eastAsia"/>
                <w:color w:val="000000"/>
                <w:kern w:val="0"/>
                <w:sz w:val="26"/>
                <w:szCs w:val="26"/>
              </w:rPr>
              <w:t>12</w:t>
            </w:r>
            <w:r w:rsidRPr="006C16D7">
              <w:rPr>
                <w:rFonts w:ascii="Times New Roman" w:eastAsia="標楷體" w:hAnsi="Times New Roman" w:cs="Arial" w:hint="eastAsia"/>
                <w:color w:val="000000"/>
                <w:kern w:val="0"/>
                <w:sz w:val="26"/>
                <w:szCs w:val="26"/>
              </w:rPr>
              <w:t>月</w:t>
            </w:r>
            <w:r w:rsidRPr="006C16D7">
              <w:rPr>
                <w:rFonts w:ascii="Times New Roman" w:eastAsia="標楷體" w:hAnsi="Times New Roman" w:cs="Arial" w:hint="eastAsia"/>
                <w:color w:val="000000"/>
                <w:kern w:val="0"/>
                <w:sz w:val="26"/>
                <w:szCs w:val="26"/>
              </w:rPr>
              <w:t>31</w:t>
            </w:r>
            <w:r w:rsidRPr="006C16D7">
              <w:rPr>
                <w:rFonts w:ascii="Times New Roman" w:eastAsia="標楷體" w:hAnsi="Times New Roman" w:cs="Arial" w:hint="eastAsia"/>
                <w:color w:val="000000"/>
                <w:kern w:val="0"/>
                <w:sz w:val="26"/>
                <w:szCs w:val="26"/>
              </w:rPr>
              <w:t>日，刻由立法院審議中。</w:t>
            </w:r>
          </w:p>
          <w:p w14:paraId="50CD297C" w14:textId="77777777" w:rsidR="005E5F3E" w:rsidRPr="00ED4851" w:rsidRDefault="005E5F3E" w:rsidP="00C97469">
            <w:pPr>
              <w:pStyle w:val="ab"/>
              <w:numPr>
                <w:ilvl w:val="0"/>
                <w:numId w:val="18"/>
              </w:numPr>
              <w:kinsoku w:val="0"/>
              <w:overflowPunct w:val="0"/>
              <w:spacing w:line="340" w:lineRule="exact"/>
              <w:ind w:left="397" w:right="240" w:hanging="397"/>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C92662">
              <w:rPr>
                <w:rFonts w:ascii="Times New Roman" w:eastAsia="標楷體" w:hAnsi="Times New Roman" w:cs="Arial" w:hint="eastAsia"/>
                <w:color w:val="000000"/>
                <w:kern w:val="0"/>
                <w:sz w:val="26"/>
                <w:szCs w:val="26"/>
              </w:rPr>
              <w:t>貨物稅條例第</w:t>
            </w:r>
            <w:r w:rsidRPr="00C92662">
              <w:rPr>
                <w:rFonts w:ascii="Times New Roman" w:eastAsia="標楷體" w:hAnsi="Times New Roman" w:cs="Arial" w:hint="eastAsia"/>
                <w:color w:val="000000"/>
                <w:kern w:val="0"/>
                <w:sz w:val="26"/>
                <w:szCs w:val="26"/>
              </w:rPr>
              <w:t>8</w:t>
            </w:r>
            <w:r w:rsidRPr="00C92662">
              <w:rPr>
                <w:rFonts w:ascii="Times New Roman" w:eastAsia="標楷體" w:hAnsi="Times New Roman" w:cs="Arial" w:hint="eastAsia"/>
                <w:color w:val="000000"/>
                <w:kern w:val="0"/>
                <w:sz w:val="26"/>
                <w:szCs w:val="26"/>
              </w:rPr>
              <w:t>條、第</w:t>
            </w:r>
            <w:r w:rsidRPr="00C92662">
              <w:rPr>
                <w:rFonts w:ascii="Times New Roman" w:eastAsia="標楷體" w:hAnsi="Times New Roman" w:cs="Arial" w:hint="eastAsia"/>
                <w:color w:val="000000"/>
                <w:kern w:val="0"/>
                <w:sz w:val="26"/>
                <w:szCs w:val="26"/>
              </w:rPr>
              <w:t>11</w:t>
            </w:r>
            <w:r w:rsidRPr="00C92662">
              <w:rPr>
                <w:rFonts w:ascii="Times New Roman" w:eastAsia="標楷體" w:hAnsi="Times New Roman" w:cs="Arial" w:hint="eastAsia"/>
                <w:color w:val="000000"/>
                <w:kern w:val="0"/>
                <w:sz w:val="26"/>
                <w:szCs w:val="26"/>
              </w:rPr>
              <w:t>條、第</w:t>
            </w:r>
            <w:r w:rsidRPr="00C92662">
              <w:rPr>
                <w:rFonts w:ascii="Times New Roman" w:eastAsia="標楷體" w:hAnsi="Times New Roman" w:cs="Arial" w:hint="eastAsia"/>
                <w:color w:val="000000"/>
                <w:kern w:val="0"/>
                <w:sz w:val="26"/>
                <w:szCs w:val="26"/>
              </w:rPr>
              <w:t>11</w:t>
            </w:r>
            <w:r w:rsidRPr="00C92662">
              <w:rPr>
                <w:rFonts w:ascii="Times New Roman" w:eastAsia="標楷體" w:hAnsi="Times New Roman" w:cs="Arial" w:hint="eastAsia"/>
                <w:color w:val="000000"/>
                <w:kern w:val="0"/>
                <w:sz w:val="26"/>
                <w:szCs w:val="26"/>
              </w:rPr>
              <w:t>條之</w:t>
            </w:r>
            <w:r w:rsidRPr="00C92662">
              <w:rPr>
                <w:rFonts w:ascii="Times New Roman" w:eastAsia="標楷體" w:hAnsi="Times New Roman" w:cs="Arial" w:hint="eastAsia"/>
                <w:color w:val="000000"/>
                <w:kern w:val="0"/>
                <w:sz w:val="26"/>
                <w:szCs w:val="26"/>
              </w:rPr>
              <w:t>1</w:t>
            </w:r>
            <w:r w:rsidRPr="00C92662">
              <w:rPr>
                <w:rFonts w:ascii="Times New Roman" w:eastAsia="標楷體" w:hAnsi="Times New Roman" w:cs="Arial" w:hint="eastAsia"/>
                <w:color w:val="000000"/>
                <w:kern w:val="0"/>
                <w:sz w:val="26"/>
                <w:szCs w:val="26"/>
              </w:rPr>
              <w:t>、第</w:t>
            </w:r>
            <w:r w:rsidRPr="00C92662">
              <w:rPr>
                <w:rFonts w:ascii="Times New Roman" w:eastAsia="標楷體" w:hAnsi="Times New Roman" w:cs="Arial" w:hint="eastAsia"/>
                <w:color w:val="000000"/>
                <w:kern w:val="0"/>
                <w:sz w:val="26"/>
                <w:szCs w:val="26"/>
              </w:rPr>
              <w:t>12</w:t>
            </w:r>
            <w:r w:rsidRPr="00C92662">
              <w:rPr>
                <w:rFonts w:ascii="Times New Roman" w:eastAsia="標楷體" w:hAnsi="Times New Roman" w:cs="Arial" w:hint="eastAsia"/>
                <w:color w:val="000000"/>
                <w:kern w:val="0"/>
                <w:sz w:val="26"/>
                <w:szCs w:val="26"/>
              </w:rPr>
              <w:t>條之</w:t>
            </w:r>
            <w:r w:rsidRPr="00C92662">
              <w:rPr>
                <w:rFonts w:ascii="Times New Roman" w:eastAsia="標楷體" w:hAnsi="Times New Roman" w:cs="Arial" w:hint="eastAsia"/>
                <w:color w:val="000000"/>
                <w:kern w:val="0"/>
                <w:sz w:val="26"/>
                <w:szCs w:val="26"/>
              </w:rPr>
              <w:t>3</w:t>
            </w:r>
            <w:r w:rsidRPr="00C92662">
              <w:rPr>
                <w:rFonts w:ascii="Times New Roman" w:eastAsia="標楷體" w:hAnsi="Times New Roman" w:cs="Arial" w:hint="eastAsia"/>
                <w:color w:val="000000"/>
                <w:kern w:val="0"/>
                <w:sz w:val="26"/>
                <w:szCs w:val="26"/>
              </w:rPr>
              <w:t>及第</w:t>
            </w:r>
            <w:r w:rsidRPr="00C92662">
              <w:rPr>
                <w:rFonts w:ascii="Times New Roman" w:eastAsia="標楷體" w:hAnsi="Times New Roman" w:cs="Arial" w:hint="eastAsia"/>
                <w:color w:val="000000"/>
                <w:kern w:val="0"/>
                <w:sz w:val="26"/>
                <w:szCs w:val="26"/>
              </w:rPr>
              <w:t>12</w:t>
            </w:r>
            <w:r w:rsidRPr="00C92662">
              <w:rPr>
                <w:rFonts w:ascii="Times New Roman" w:eastAsia="標楷體" w:hAnsi="Times New Roman" w:cs="Arial" w:hint="eastAsia"/>
                <w:color w:val="000000"/>
                <w:kern w:val="0"/>
                <w:sz w:val="26"/>
                <w:szCs w:val="26"/>
              </w:rPr>
              <w:t>條之</w:t>
            </w:r>
            <w:r w:rsidRPr="00C92662">
              <w:rPr>
                <w:rFonts w:ascii="Times New Roman" w:eastAsia="標楷體" w:hAnsi="Times New Roman" w:cs="Arial" w:hint="eastAsia"/>
                <w:color w:val="000000"/>
                <w:kern w:val="0"/>
                <w:sz w:val="26"/>
                <w:szCs w:val="26"/>
              </w:rPr>
              <w:t>5</w:t>
            </w:r>
          </w:p>
        </w:tc>
        <w:tc>
          <w:tcPr>
            <w:tcW w:w="1417" w:type="dxa"/>
            <w:noWrap/>
          </w:tcPr>
          <w:p w14:paraId="69BD53C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0567684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1F451D45"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84280742"/>
                <w14:checkbox>
                  <w14:checked w14:val="1"/>
                  <w14:checkedState w14:val="0052" w14:font="Wingdings 2"/>
                  <w14:uncheckedState w14:val="2610" w14:font="MS Gothic"/>
                </w14:checkbox>
              </w:sdtPr>
              <w:sdtEndPr/>
              <w:sdtContent>
                <w:r w:rsidR="005E5F3E">
                  <w:rPr>
                    <w:rFonts w:ascii="Times New Roman" w:hAnsi="Times New Roman" w:hint="eastAsia"/>
                    <w:color w:val="000000" w:themeColor="text1"/>
                    <w:lang w:eastAsia="zh-TW"/>
                  </w:rPr>
                  <w:sym w:font="Wingdings 2" w:char="F052"/>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39809737"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2422367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1535E6D5"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42283030"/>
                <w14:checkbox>
                  <w14:checked w14:val="0"/>
                  <w14:checkedState w14:val="0052" w14:font="Wingdings 2"/>
                  <w14:uncheckedState w14:val="2610" w14:font="MS Gothic"/>
                </w14:checkbox>
              </w:sdtPr>
              <w:sdtEndPr/>
              <w:sdtContent>
                <w:r w:rsidR="005E5F3E" w:rsidRPr="00ED4851">
                  <w:rPr>
                    <w:rFonts w:ascii="Segoe UI Symbol" w:eastAsia="標楷體" w:hAnsi="Segoe UI Symbol" w:cs="Segoe UI Symbol"/>
                    <w:color w:val="000000" w:themeColor="text1"/>
                    <w:sz w:val="26"/>
                    <w:szCs w:val="26"/>
                  </w:rPr>
                  <w:t>☐</w:t>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540FBC6A" w14:textId="77777777" w:rsidTr="00C97469">
        <w:tc>
          <w:tcPr>
            <w:tcW w:w="1418" w:type="dxa"/>
            <w:vMerge/>
            <w:hideMark/>
          </w:tcPr>
          <w:p w14:paraId="2A210F41"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5152E942"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二</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倘若全面廢除</w:t>
            </w:r>
            <w:proofErr w:type="gramStart"/>
            <w:r w:rsidRPr="007D7972">
              <w:rPr>
                <w:rFonts w:ascii="Times New Roman" w:eastAsia="標楷體" w:hAnsi="Times New Roman" w:cs="Arial"/>
                <w:b/>
                <w:bCs/>
                <w:color w:val="000000"/>
                <w:kern w:val="0"/>
                <w:sz w:val="26"/>
                <w:szCs w:val="28"/>
              </w:rPr>
              <w:t>貨物稅需階段性</w:t>
            </w:r>
            <w:proofErr w:type="gramEnd"/>
            <w:r w:rsidRPr="007D7972">
              <w:rPr>
                <w:rFonts w:ascii="Times New Roman" w:eastAsia="標楷體" w:hAnsi="Times New Roman" w:cs="Arial"/>
                <w:b/>
                <w:bCs/>
                <w:color w:val="000000"/>
                <w:kern w:val="0"/>
                <w:sz w:val="26"/>
                <w:szCs w:val="28"/>
              </w:rPr>
              <w:t>規劃，仍可分別檢討或刪除飲料、水泥及電器等個別項目貨物稅；抑或是單獨檢討或刪除電冰箱、冷暖氣機與除濕機等電器貨物稅。</w:t>
            </w:r>
          </w:p>
        </w:tc>
        <w:tc>
          <w:tcPr>
            <w:tcW w:w="709" w:type="dxa"/>
            <w:hideMark/>
          </w:tcPr>
          <w:p w14:paraId="74CB6F1A"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3B722864" w14:textId="77777777" w:rsidR="005E5F3E" w:rsidRPr="005504A6"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5504A6">
              <w:rPr>
                <w:rFonts w:ascii="Times New Roman" w:eastAsia="標楷體" w:hAnsi="Times New Roman" w:cs="Arial" w:hint="eastAsia"/>
                <w:b/>
                <w:bCs/>
                <w:color w:val="000000"/>
                <w:kern w:val="0"/>
                <w:sz w:val="26"/>
                <w:szCs w:val="28"/>
              </w:rPr>
              <w:t>財政部</w:t>
            </w:r>
          </w:p>
          <w:p w14:paraId="25844631" w14:textId="77777777" w:rsidR="005E5F3E" w:rsidRDefault="005E5F3E" w:rsidP="00C97469">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E8592AD" w14:textId="77777777" w:rsidR="005E5F3E" w:rsidRPr="005504A6"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5504A6">
              <w:rPr>
                <w:rFonts w:ascii="Times New Roman" w:eastAsia="標楷體" w:hAnsi="Times New Roman" w:cs="Arial" w:hint="eastAsia"/>
                <w:color w:val="000000"/>
                <w:kern w:val="0"/>
                <w:sz w:val="26"/>
                <w:szCs w:val="26"/>
              </w:rPr>
              <w:t>近年貨物稅轉型為「改變消費行為」政策工具，依政策目的提供不同貨物稅減免措施，以鼓勵綠色消費、</w:t>
            </w:r>
            <w:proofErr w:type="gramStart"/>
            <w:r w:rsidRPr="005504A6">
              <w:rPr>
                <w:rFonts w:ascii="Times New Roman" w:eastAsia="標楷體" w:hAnsi="Times New Roman" w:cs="Arial" w:hint="eastAsia"/>
                <w:color w:val="000000"/>
                <w:kern w:val="0"/>
                <w:sz w:val="26"/>
                <w:szCs w:val="26"/>
              </w:rPr>
              <w:t>節能減碳及</w:t>
            </w:r>
            <w:proofErr w:type="gramEnd"/>
            <w:r w:rsidRPr="005504A6">
              <w:rPr>
                <w:rFonts w:ascii="Times New Roman" w:eastAsia="標楷體" w:hAnsi="Times New Roman" w:cs="Arial" w:hint="eastAsia"/>
                <w:color w:val="000000"/>
                <w:kern w:val="0"/>
                <w:sz w:val="26"/>
                <w:szCs w:val="26"/>
              </w:rPr>
              <w:t>促進相關產業轉型；茲就水泥、飲料及電器之貨物稅優惠措施說明如下：</w:t>
            </w:r>
          </w:p>
          <w:p w14:paraId="4558DEA0" w14:textId="77777777" w:rsidR="005E5F3E" w:rsidRPr="005504A6" w:rsidRDefault="005E5F3E" w:rsidP="00C97469">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504A6">
              <w:rPr>
                <w:rFonts w:ascii="Times New Roman" w:eastAsia="標楷體" w:hAnsi="Times New Roman" w:cs="Arial" w:hint="eastAsia"/>
                <w:color w:val="000000"/>
                <w:kern w:val="0"/>
                <w:sz w:val="26"/>
                <w:szCs w:val="26"/>
              </w:rPr>
              <w:t>2024</w:t>
            </w:r>
            <w:r w:rsidRPr="005504A6">
              <w:rPr>
                <w:rFonts w:ascii="Times New Roman" w:eastAsia="標楷體" w:hAnsi="Times New Roman" w:cs="Arial" w:hint="eastAsia"/>
                <w:color w:val="000000"/>
                <w:kern w:val="0"/>
                <w:sz w:val="26"/>
                <w:szCs w:val="26"/>
              </w:rPr>
              <w:t>年</w:t>
            </w:r>
            <w:r w:rsidRPr="005504A6">
              <w:rPr>
                <w:rFonts w:ascii="Times New Roman" w:eastAsia="標楷體" w:hAnsi="Times New Roman" w:cs="Arial" w:hint="eastAsia"/>
                <w:color w:val="000000"/>
                <w:kern w:val="0"/>
                <w:sz w:val="26"/>
                <w:szCs w:val="26"/>
              </w:rPr>
              <w:t>1</w:t>
            </w:r>
            <w:r w:rsidRPr="005504A6">
              <w:rPr>
                <w:rFonts w:ascii="Times New Roman" w:eastAsia="標楷體" w:hAnsi="Times New Roman" w:cs="Arial" w:hint="eastAsia"/>
                <w:color w:val="000000"/>
                <w:kern w:val="0"/>
                <w:sz w:val="26"/>
                <w:szCs w:val="26"/>
              </w:rPr>
              <w:t>月</w:t>
            </w:r>
            <w:r w:rsidRPr="005504A6">
              <w:rPr>
                <w:rFonts w:ascii="Times New Roman" w:eastAsia="標楷體" w:hAnsi="Times New Roman" w:cs="Arial" w:hint="eastAsia"/>
                <w:color w:val="000000"/>
                <w:kern w:val="0"/>
                <w:sz w:val="26"/>
                <w:szCs w:val="26"/>
              </w:rPr>
              <w:t>1</w:t>
            </w:r>
            <w:r w:rsidRPr="005504A6">
              <w:rPr>
                <w:rFonts w:ascii="Times New Roman" w:eastAsia="標楷體" w:hAnsi="Times New Roman" w:cs="Arial" w:hint="eastAsia"/>
                <w:color w:val="000000"/>
                <w:kern w:val="0"/>
                <w:sz w:val="26"/>
                <w:szCs w:val="26"/>
              </w:rPr>
              <w:t>日起行政院依貨物稅條例第</w:t>
            </w:r>
            <w:r w:rsidRPr="005504A6">
              <w:rPr>
                <w:rFonts w:ascii="Times New Roman" w:eastAsia="標楷體" w:hAnsi="Times New Roman" w:cs="Arial" w:hint="eastAsia"/>
                <w:color w:val="000000"/>
                <w:kern w:val="0"/>
                <w:sz w:val="26"/>
                <w:szCs w:val="26"/>
              </w:rPr>
              <w:t>7</w:t>
            </w:r>
            <w:r w:rsidRPr="005504A6">
              <w:rPr>
                <w:rFonts w:ascii="Times New Roman" w:eastAsia="標楷體" w:hAnsi="Times New Roman" w:cs="Arial" w:hint="eastAsia"/>
                <w:color w:val="000000"/>
                <w:kern w:val="0"/>
                <w:sz w:val="26"/>
                <w:szCs w:val="26"/>
              </w:rPr>
              <w:t>條第</w:t>
            </w:r>
            <w:r w:rsidRPr="005504A6">
              <w:rPr>
                <w:rFonts w:ascii="Times New Roman" w:eastAsia="標楷體" w:hAnsi="Times New Roman" w:cs="Arial" w:hint="eastAsia"/>
                <w:color w:val="000000"/>
                <w:kern w:val="0"/>
                <w:sz w:val="26"/>
                <w:szCs w:val="26"/>
              </w:rPr>
              <w:t>3</w:t>
            </w:r>
            <w:r w:rsidRPr="005504A6">
              <w:rPr>
                <w:rFonts w:ascii="Times New Roman" w:eastAsia="標楷體" w:hAnsi="Times New Roman" w:cs="Arial" w:hint="eastAsia"/>
                <w:color w:val="000000"/>
                <w:kern w:val="0"/>
                <w:sz w:val="26"/>
                <w:szCs w:val="26"/>
              </w:rPr>
              <w:t>項規定核定</w:t>
            </w:r>
            <w:proofErr w:type="gramStart"/>
            <w:r w:rsidRPr="005504A6">
              <w:rPr>
                <w:rFonts w:ascii="Times New Roman" w:eastAsia="標楷體" w:hAnsi="Times New Roman" w:cs="Arial" w:hint="eastAsia"/>
                <w:color w:val="000000"/>
                <w:kern w:val="0"/>
                <w:sz w:val="26"/>
                <w:szCs w:val="26"/>
              </w:rPr>
              <w:t>調減符合減碳</w:t>
            </w:r>
            <w:proofErr w:type="gramEnd"/>
            <w:r w:rsidRPr="005504A6">
              <w:rPr>
                <w:rFonts w:ascii="Times New Roman" w:eastAsia="標楷體" w:hAnsi="Times New Roman" w:cs="Arial" w:hint="eastAsia"/>
                <w:color w:val="000000"/>
                <w:kern w:val="0"/>
                <w:sz w:val="26"/>
                <w:szCs w:val="26"/>
              </w:rPr>
              <w:t>認定基準之水硬性混合水泥及</w:t>
            </w:r>
            <w:proofErr w:type="gramStart"/>
            <w:r w:rsidRPr="005504A6">
              <w:rPr>
                <w:rFonts w:ascii="Times New Roman" w:eastAsia="標楷體" w:hAnsi="Times New Roman" w:cs="Arial" w:hint="eastAsia"/>
                <w:color w:val="000000"/>
                <w:kern w:val="0"/>
                <w:sz w:val="26"/>
                <w:szCs w:val="26"/>
              </w:rPr>
              <w:t>墁</w:t>
            </w:r>
            <w:proofErr w:type="gramEnd"/>
            <w:r w:rsidRPr="005504A6">
              <w:rPr>
                <w:rFonts w:ascii="Times New Roman" w:eastAsia="標楷體" w:hAnsi="Times New Roman" w:cs="Arial" w:hint="eastAsia"/>
                <w:color w:val="000000"/>
                <w:kern w:val="0"/>
                <w:sz w:val="26"/>
                <w:szCs w:val="26"/>
              </w:rPr>
              <w:t>砌水泥貨物稅應徵稅額，由每公噸徵收</w:t>
            </w:r>
            <w:r w:rsidRPr="005504A6">
              <w:rPr>
                <w:rFonts w:ascii="Times New Roman" w:eastAsia="標楷體" w:hAnsi="Times New Roman" w:cs="Arial" w:hint="eastAsia"/>
                <w:color w:val="000000"/>
                <w:kern w:val="0"/>
                <w:sz w:val="26"/>
                <w:szCs w:val="26"/>
              </w:rPr>
              <w:t>440</w:t>
            </w:r>
            <w:r w:rsidRPr="005504A6">
              <w:rPr>
                <w:rFonts w:ascii="Times New Roman" w:eastAsia="標楷體" w:hAnsi="Times New Roman" w:cs="Arial" w:hint="eastAsia"/>
                <w:color w:val="000000"/>
                <w:kern w:val="0"/>
                <w:sz w:val="26"/>
                <w:szCs w:val="26"/>
              </w:rPr>
              <w:t>元，依添加物比率不同</w:t>
            </w:r>
            <w:proofErr w:type="gramStart"/>
            <w:r w:rsidRPr="005504A6">
              <w:rPr>
                <w:rFonts w:ascii="Times New Roman" w:eastAsia="標楷體" w:hAnsi="Times New Roman" w:cs="Arial" w:hint="eastAsia"/>
                <w:color w:val="000000"/>
                <w:kern w:val="0"/>
                <w:sz w:val="26"/>
                <w:szCs w:val="26"/>
              </w:rPr>
              <w:t>分別調減為</w:t>
            </w:r>
            <w:proofErr w:type="gramEnd"/>
            <w:r w:rsidRPr="005504A6">
              <w:rPr>
                <w:rFonts w:ascii="Times New Roman" w:eastAsia="標楷體" w:hAnsi="Times New Roman" w:cs="Arial" w:hint="eastAsia"/>
                <w:color w:val="000000"/>
                <w:kern w:val="0"/>
                <w:sz w:val="26"/>
                <w:szCs w:val="26"/>
              </w:rPr>
              <w:t>260</w:t>
            </w:r>
            <w:r w:rsidRPr="005504A6">
              <w:rPr>
                <w:rFonts w:ascii="Times New Roman" w:eastAsia="標楷體" w:hAnsi="Times New Roman" w:cs="Arial" w:hint="eastAsia"/>
                <w:color w:val="000000"/>
                <w:kern w:val="0"/>
                <w:sz w:val="26"/>
                <w:szCs w:val="26"/>
              </w:rPr>
              <w:t>元或</w:t>
            </w:r>
            <w:r w:rsidRPr="005504A6">
              <w:rPr>
                <w:rFonts w:ascii="Times New Roman" w:eastAsia="標楷體" w:hAnsi="Times New Roman" w:cs="Arial" w:hint="eastAsia"/>
                <w:color w:val="000000"/>
                <w:kern w:val="0"/>
                <w:sz w:val="26"/>
                <w:szCs w:val="26"/>
              </w:rPr>
              <w:t>220</w:t>
            </w:r>
            <w:r w:rsidRPr="005504A6">
              <w:rPr>
                <w:rFonts w:ascii="Times New Roman" w:eastAsia="標楷體" w:hAnsi="Times New Roman" w:cs="Arial" w:hint="eastAsia"/>
                <w:color w:val="000000"/>
                <w:kern w:val="0"/>
                <w:sz w:val="26"/>
                <w:szCs w:val="26"/>
              </w:rPr>
              <w:t>元，降幅約</w:t>
            </w:r>
            <w:r w:rsidRPr="005504A6">
              <w:rPr>
                <w:rFonts w:ascii="Times New Roman" w:eastAsia="標楷體" w:hAnsi="Times New Roman" w:cs="Arial" w:hint="eastAsia"/>
                <w:color w:val="000000"/>
                <w:kern w:val="0"/>
                <w:sz w:val="26"/>
                <w:szCs w:val="26"/>
              </w:rPr>
              <w:t>40%</w:t>
            </w:r>
            <w:r w:rsidRPr="005504A6">
              <w:rPr>
                <w:rFonts w:ascii="Times New Roman" w:eastAsia="標楷體" w:hAnsi="Times New Roman" w:cs="Arial" w:hint="eastAsia"/>
                <w:color w:val="000000"/>
                <w:kern w:val="0"/>
                <w:sz w:val="26"/>
                <w:szCs w:val="26"/>
              </w:rPr>
              <w:t>或</w:t>
            </w:r>
            <w:r w:rsidRPr="005504A6">
              <w:rPr>
                <w:rFonts w:ascii="Times New Roman" w:eastAsia="標楷體" w:hAnsi="Times New Roman" w:cs="Arial" w:hint="eastAsia"/>
                <w:color w:val="000000"/>
                <w:kern w:val="0"/>
                <w:sz w:val="26"/>
                <w:szCs w:val="26"/>
              </w:rPr>
              <w:t>50%</w:t>
            </w:r>
            <w:r w:rsidRPr="005504A6">
              <w:rPr>
                <w:rFonts w:ascii="Times New Roman" w:eastAsia="標楷體" w:hAnsi="Times New Roman" w:cs="Arial" w:hint="eastAsia"/>
                <w:color w:val="000000"/>
                <w:kern w:val="0"/>
                <w:sz w:val="26"/>
                <w:szCs w:val="26"/>
              </w:rPr>
              <w:t>，有助廠商降低成本，鼓勵生產低碳水泥，</w:t>
            </w:r>
            <w:proofErr w:type="gramStart"/>
            <w:r w:rsidRPr="005504A6">
              <w:rPr>
                <w:rFonts w:ascii="Times New Roman" w:eastAsia="標楷體" w:hAnsi="Times New Roman" w:cs="Arial" w:hint="eastAsia"/>
                <w:color w:val="000000"/>
                <w:kern w:val="0"/>
                <w:sz w:val="26"/>
                <w:szCs w:val="26"/>
              </w:rPr>
              <w:t>達成減碳及</w:t>
            </w:r>
            <w:proofErr w:type="gramEnd"/>
            <w:r w:rsidRPr="005504A6">
              <w:rPr>
                <w:rFonts w:ascii="Times New Roman" w:eastAsia="標楷體" w:hAnsi="Times New Roman" w:cs="Arial" w:hint="eastAsia"/>
                <w:color w:val="000000"/>
                <w:kern w:val="0"/>
                <w:sz w:val="26"/>
                <w:szCs w:val="26"/>
              </w:rPr>
              <w:t>廢物再利用之雙重效益，並降低綠色通膨。</w:t>
            </w:r>
          </w:p>
          <w:p w14:paraId="7D61698D" w14:textId="77777777" w:rsidR="005E5F3E" w:rsidRPr="005504A6" w:rsidRDefault="005E5F3E" w:rsidP="00C97469">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504A6">
              <w:rPr>
                <w:rFonts w:ascii="Times New Roman" w:eastAsia="標楷體" w:hAnsi="Times New Roman" w:cs="Arial" w:hint="eastAsia"/>
                <w:color w:val="000000"/>
                <w:kern w:val="0"/>
                <w:sz w:val="26"/>
                <w:szCs w:val="26"/>
              </w:rPr>
              <w:t>2025</w:t>
            </w:r>
            <w:r w:rsidRPr="005504A6">
              <w:rPr>
                <w:rFonts w:ascii="Times New Roman" w:eastAsia="標楷體" w:hAnsi="Times New Roman" w:cs="Arial" w:hint="eastAsia"/>
                <w:color w:val="000000"/>
                <w:kern w:val="0"/>
                <w:sz w:val="26"/>
                <w:szCs w:val="26"/>
              </w:rPr>
              <w:t>年</w:t>
            </w:r>
            <w:r w:rsidRPr="005504A6">
              <w:rPr>
                <w:rFonts w:ascii="Times New Roman" w:eastAsia="標楷體" w:hAnsi="Times New Roman" w:cs="Arial" w:hint="eastAsia"/>
                <w:color w:val="000000"/>
                <w:kern w:val="0"/>
                <w:sz w:val="26"/>
                <w:szCs w:val="26"/>
              </w:rPr>
              <w:t>6</w:t>
            </w:r>
            <w:r w:rsidRPr="005504A6">
              <w:rPr>
                <w:rFonts w:ascii="Times New Roman" w:eastAsia="標楷體" w:hAnsi="Times New Roman" w:cs="Arial" w:hint="eastAsia"/>
                <w:color w:val="000000"/>
                <w:kern w:val="0"/>
                <w:sz w:val="26"/>
                <w:szCs w:val="26"/>
              </w:rPr>
              <w:t>月</w:t>
            </w:r>
            <w:r w:rsidRPr="005504A6">
              <w:rPr>
                <w:rFonts w:ascii="Times New Roman" w:eastAsia="標楷體" w:hAnsi="Times New Roman" w:cs="Arial" w:hint="eastAsia"/>
                <w:color w:val="000000"/>
                <w:kern w:val="0"/>
                <w:sz w:val="26"/>
                <w:szCs w:val="26"/>
              </w:rPr>
              <w:t>13</w:t>
            </w:r>
            <w:r w:rsidRPr="005504A6">
              <w:rPr>
                <w:rFonts w:ascii="Times New Roman" w:eastAsia="標楷體" w:hAnsi="Times New Roman" w:cs="Arial" w:hint="eastAsia"/>
                <w:color w:val="000000"/>
                <w:kern w:val="0"/>
                <w:sz w:val="26"/>
                <w:szCs w:val="26"/>
              </w:rPr>
              <w:t>日修正公布貨物稅條例第</w:t>
            </w:r>
            <w:r w:rsidRPr="005504A6">
              <w:rPr>
                <w:rFonts w:ascii="Times New Roman" w:eastAsia="標楷體" w:hAnsi="Times New Roman" w:cs="Arial" w:hint="eastAsia"/>
                <w:color w:val="000000"/>
                <w:kern w:val="0"/>
                <w:sz w:val="26"/>
                <w:szCs w:val="26"/>
              </w:rPr>
              <w:t>11</w:t>
            </w:r>
            <w:r w:rsidRPr="005504A6">
              <w:rPr>
                <w:rFonts w:ascii="Times New Roman" w:eastAsia="標楷體" w:hAnsi="Times New Roman" w:cs="Arial" w:hint="eastAsia"/>
                <w:color w:val="000000"/>
                <w:kern w:val="0"/>
                <w:sz w:val="26"/>
                <w:szCs w:val="26"/>
              </w:rPr>
              <w:t>條之</w:t>
            </w:r>
            <w:r w:rsidRPr="005504A6">
              <w:rPr>
                <w:rFonts w:ascii="Times New Roman" w:eastAsia="標楷體" w:hAnsi="Times New Roman" w:cs="Arial" w:hint="eastAsia"/>
                <w:color w:val="000000"/>
                <w:kern w:val="0"/>
                <w:sz w:val="26"/>
                <w:szCs w:val="26"/>
              </w:rPr>
              <w:t>1</w:t>
            </w:r>
            <w:r w:rsidRPr="005504A6">
              <w:rPr>
                <w:rFonts w:ascii="Times New Roman" w:eastAsia="標楷體" w:hAnsi="Times New Roman" w:cs="Arial" w:hint="eastAsia"/>
                <w:color w:val="000000"/>
                <w:kern w:val="0"/>
                <w:sz w:val="26"/>
                <w:szCs w:val="26"/>
              </w:rPr>
              <w:t>，延長購買節能電器</w:t>
            </w:r>
            <w:r w:rsidRPr="00BC4C96">
              <w:rPr>
                <w:rFonts w:ascii="Times New Roman" w:eastAsia="標楷體" w:hAnsi="Times New Roman" w:cs="Arial" w:hint="eastAsia"/>
                <w:color w:val="000000"/>
                <w:kern w:val="0"/>
                <w:sz w:val="26"/>
                <w:szCs w:val="26"/>
              </w:rPr>
              <w:t>（</w:t>
            </w:r>
            <w:r w:rsidRPr="005504A6">
              <w:rPr>
                <w:rFonts w:ascii="Times New Roman" w:eastAsia="標楷體" w:hAnsi="Times New Roman" w:cs="Arial" w:hint="eastAsia"/>
                <w:color w:val="000000"/>
                <w:kern w:val="0"/>
                <w:sz w:val="26"/>
                <w:szCs w:val="26"/>
              </w:rPr>
              <w:t>電冰箱、冷暖氣機與除濕機</w:t>
            </w:r>
            <w:r w:rsidRPr="00BC4C96">
              <w:rPr>
                <w:rFonts w:ascii="Times New Roman" w:eastAsia="標楷體" w:hAnsi="Times New Roman" w:cs="Arial" w:hint="eastAsia"/>
                <w:color w:val="000000"/>
                <w:kern w:val="0"/>
                <w:sz w:val="26"/>
                <w:szCs w:val="26"/>
              </w:rPr>
              <w:t>）</w:t>
            </w:r>
            <w:r w:rsidRPr="005504A6">
              <w:rPr>
                <w:rFonts w:ascii="Times New Roman" w:eastAsia="標楷體" w:hAnsi="Times New Roman" w:cs="Arial" w:hint="eastAsia"/>
                <w:color w:val="000000"/>
                <w:kern w:val="0"/>
                <w:sz w:val="26"/>
                <w:szCs w:val="26"/>
              </w:rPr>
              <w:t>退還減徵貨物稅至</w:t>
            </w:r>
            <w:r w:rsidRPr="005504A6">
              <w:rPr>
                <w:rFonts w:ascii="Times New Roman" w:eastAsia="標楷體" w:hAnsi="Times New Roman" w:cs="Arial" w:hint="eastAsia"/>
                <w:color w:val="000000"/>
                <w:kern w:val="0"/>
                <w:sz w:val="26"/>
                <w:szCs w:val="26"/>
              </w:rPr>
              <w:t>2029</w:t>
            </w:r>
            <w:r w:rsidRPr="005504A6">
              <w:rPr>
                <w:rFonts w:ascii="Times New Roman" w:eastAsia="標楷體" w:hAnsi="Times New Roman" w:cs="Arial" w:hint="eastAsia"/>
                <w:color w:val="000000"/>
                <w:kern w:val="0"/>
                <w:sz w:val="26"/>
                <w:szCs w:val="26"/>
              </w:rPr>
              <w:t>年</w:t>
            </w:r>
            <w:r w:rsidRPr="005504A6">
              <w:rPr>
                <w:rFonts w:ascii="Times New Roman" w:eastAsia="標楷體" w:hAnsi="Times New Roman" w:cs="Arial" w:hint="eastAsia"/>
                <w:color w:val="000000"/>
                <w:kern w:val="0"/>
                <w:sz w:val="26"/>
                <w:szCs w:val="26"/>
              </w:rPr>
              <w:t>12</w:t>
            </w:r>
            <w:r w:rsidRPr="005504A6">
              <w:rPr>
                <w:rFonts w:ascii="Times New Roman" w:eastAsia="標楷體" w:hAnsi="Times New Roman" w:cs="Arial" w:hint="eastAsia"/>
                <w:color w:val="000000"/>
                <w:kern w:val="0"/>
                <w:sz w:val="26"/>
                <w:szCs w:val="26"/>
              </w:rPr>
              <w:t>月</w:t>
            </w:r>
            <w:r w:rsidRPr="005504A6">
              <w:rPr>
                <w:rFonts w:ascii="Times New Roman" w:eastAsia="標楷體" w:hAnsi="Times New Roman" w:cs="Arial" w:hint="eastAsia"/>
                <w:color w:val="000000"/>
                <w:kern w:val="0"/>
                <w:sz w:val="26"/>
                <w:szCs w:val="26"/>
              </w:rPr>
              <w:t>31</w:t>
            </w:r>
            <w:r w:rsidRPr="005504A6">
              <w:rPr>
                <w:rFonts w:ascii="Times New Roman" w:eastAsia="標楷體" w:hAnsi="Times New Roman" w:cs="Arial" w:hint="eastAsia"/>
                <w:color w:val="000000"/>
                <w:kern w:val="0"/>
                <w:sz w:val="26"/>
                <w:szCs w:val="26"/>
              </w:rPr>
              <w:t>日，以鼓勵民眾綠色消費，達成</w:t>
            </w:r>
            <w:proofErr w:type="gramStart"/>
            <w:r w:rsidRPr="005504A6">
              <w:rPr>
                <w:rFonts w:ascii="Times New Roman" w:eastAsia="標楷體" w:hAnsi="Times New Roman" w:cs="Arial" w:hint="eastAsia"/>
                <w:color w:val="000000"/>
                <w:kern w:val="0"/>
                <w:sz w:val="26"/>
                <w:szCs w:val="26"/>
              </w:rPr>
              <w:t>節能減碳目標</w:t>
            </w:r>
            <w:proofErr w:type="gramEnd"/>
            <w:r w:rsidRPr="005504A6">
              <w:rPr>
                <w:rFonts w:ascii="Times New Roman" w:eastAsia="標楷體" w:hAnsi="Times New Roman" w:cs="Arial" w:hint="eastAsia"/>
                <w:color w:val="000000"/>
                <w:kern w:val="0"/>
                <w:sz w:val="26"/>
                <w:szCs w:val="26"/>
              </w:rPr>
              <w:t>。</w:t>
            </w:r>
          </w:p>
          <w:p w14:paraId="1D1B46BA" w14:textId="77777777" w:rsidR="005E5F3E" w:rsidRPr="005504A6" w:rsidRDefault="005E5F3E" w:rsidP="00C97469">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504A6">
              <w:rPr>
                <w:rFonts w:ascii="Times New Roman" w:eastAsia="標楷體" w:hAnsi="Times New Roman" w:cs="Arial" w:hint="eastAsia"/>
                <w:color w:val="000000"/>
                <w:kern w:val="0"/>
                <w:sz w:val="26"/>
                <w:szCs w:val="26"/>
              </w:rPr>
              <w:t>2025</w:t>
            </w:r>
            <w:r w:rsidRPr="005504A6">
              <w:rPr>
                <w:rFonts w:ascii="Times New Roman" w:eastAsia="標楷體" w:hAnsi="Times New Roman" w:cs="Arial" w:hint="eastAsia"/>
                <w:color w:val="000000"/>
                <w:kern w:val="0"/>
                <w:sz w:val="26"/>
                <w:szCs w:val="26"/>
              </w:rPr>
              <w:t>年</w:t>
            </w:r>
            <w:r w:rsidRPr="005504A6">
              <w:rPr>
                <w:rFonts w:ascii="Times New Roman" w:eastAsia="標楷體" w:hAnsi="Times New Roman" w:cs="Arial" w:hint="eastAsia"/>
                <w:color w:val="000000"/>
                <w:kern w:val="0"/>
                <w:sz w:val="26"/>
                <w:szCs w:val="26"/>
              </w:rPr>
              <w:t>8</w:t>
            </w:r>
            <w:r w:rsidRPr="005504A6">
              <w:rPr>
                <w:rFonts w:ascii="Times New Roman" w:eastAsia="標楷體" w:hAnsi="Times New Roman" w:cs="Arial" w:hint="eastAsia"/>
                <w:color w:val="000000"/>
                <w:kern w:val="0"/>
                <w:sz w:val="26"/>
                <w:szCs w:val="26"/>
              </w:rPr>
              <w:t>月</w:t>
            </w:r>
            <w:r w:rsidRPr="005504A6">
              <w:rPr>
                <w:rFonts w:ascii="Times New Roman" w:eastAsia="標楷體" w:hAnsi="Times New Roman" w:cs="Arial" w:hint="eastAsia"/>
                <w:color w:val="000000"/>
                <w:kern w:val="0"/>
                <w:sz w:val="26"/>
                <w:szCs w:val="26"/>
              </w:rPr>
              <w:t>19</w:t>
            </w:r>
            <w:r w:rsidRPr="005504A6">
              <w:rPr>
                <w:rFonts w:ascii="Times New Roman" w:eastAsia="標楷體" w:hAnsi="Times New Roman" w:cs="Arial" w:hint="eastAsia"/>
                <w:color w:val="000000"/>
                <w:kern w:val="0"/>
                <w:sz w:val="26"/>
                <w:szCs w:val="26"/>
              </w:rPr>
              <w:t>日修正公布貨物稅條例第</w:t>
            </w:r>
            <w:r w:rsidRPr="005504A6">
              <w:rPr>
                <w:rFonts w:ascii="Times New Roman" w:eastAsia="標楷體" w:hAnsi="Times New Roman" w:cs="Arial" w:hint="eastAsia"/>
                <w:color w:val="000000"/>
                <w:kern w:val="0"/>
                <w:sz w:val="26"/>
                <w:szCs w:val="26"/>
              </w:rPr>
              <w:t>8</w:t>
            </w:r>
            <w:r w:rsidRPr="005504A6">
              <w:rPr>
                <w:rFonts w:ascii="Times New Roman" w:eastAsia="標楷體" w:hAnsi="Times New Roman" w:cs="Arial" w:hint="eastAsia"/>
                <w:color w:val="000000"/>
                <w:kern w:val="0"/>
                <w:sz w:val="26"/>
                <w:szCs w:val="26"/>
              </w:rPr>
              <w:t>條及第</w:t>
            </w:r>
            <w:r w:rsidRPr="005504A6">
              <w:rPr>
                <w:rFonts w:ascii="Times New Roman" w:eastAsia="標楷體" w:hAnsi="Times New Roman" w:cs="Arial" w:hint="eastAsia"/>
                <w:color w:val="000000"/>
                <w:kern w:val="0"/>
                <w:sz w:val="26"/>
                <w:szCs w:val="26"/>
              </w:rPr>
              <w:t>11</w:t>
            </w:r>
            <w:r w:rsidRPr="005504A6">
              <w:rPr>
                <w:rFonts w:ascii="Times New Roman" w:eastAsia="標楷體" w:hAnsi="Times New Roman" w:cs="Arial" w:hint="eastAsia"/>
                <w:color w:val="000000"/>
                <w:kern w:val="0"/>
                <w:sz w:val="26"/>
                <w:szCs w:val="26"/>
              </w:rPr>
              <w:t>條，增訂無添加糖飲料品免徵貨物稅及刪除彩色電視機、錄影機、電唱機、錄音機</w:t>
            </w:r>
            <w:r w:rsidRPr="005504A6">
              <w:rPr>
                <w:rFonts w:ascii="Times New Roman" w:eastAsia="標楷體" w:hAnsi="Times New Roman" w:cs="Arial" w:hint="eastAsia"/>
                <w:color w:val="000000"/>
                <w:kern w:val="0"/>
                <w:sz w:val="26"/>
                <w:szCs w:val="26"/>
              </w:rPr>
              <w:t>4</w:t>
            </w:r>
            <w:r w:rsidRPr="005504A6">
              <w:rPr>
                <w:rFonts w:ascii="Times New Roman" w:eastAsia="標楷體" w:hAnsi="Times New Roman" w:cs="Arial" w:hint="eastAsia"/>
                <w:color w:val="000000"/>
                <w:kern w:val="0"/>
                <w:sz w:val="26"/>
                <w:szCs w:val="26"/>
              </w:rPr>
              <w:t>項電器類貨物稅，可兼顧國人健康及節省民眾生活支出。</w:t>
            </w:r>
          </w:p>
          <w:p w14:paraId="3A7514D4" w14:textId="77777777" w:rsidR="005E5F3E" w:rsidRPr="00ED4851" w:rsidRDefault="005E5F3E" w:rsidP="00C97469">
            <w:pPr>
              <w:pStyle w:val="ab"/>
              <w:numPr>
                <w:ilvl w:val="0"/>
                <w:numId w:val="19"/>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47771D">
              <w:rPr>
                <w:rFonts w:ascii="Times New Roman" w:eastAsia="標楷體" w:hAnsi="Times New Roman" w:cs="Arial" w:hint="eastAsia"/>
                <w:color w:val="000000"/>
                <w:kern w:val="0"/>
                <w:sz w:val="26"/>
                <w:szCs w:val="26"/>
              </w:rPr>
              <w:t>貨物稅條例第</w:t>
            </w:r>
            <w:r w:rsidRPr="0047771D">
              <w:rPr>
                <w:rFonts w:ascii="Times New Roman" w:eastAsia="標楷體" w:hAnsi="Times New Roman" w:cs="Arial" w:hint="eastAsia"/>
                <w:color w:val="000000"/>
                <w:kern w:val="0"/>
                <w:sz w:val="26"/>
                <w:szCs w:val="26"/>
              </w:rPr>
              <w:t>7</w:t>
            </w:r>
            <w:r w:rsidRPr="0047771D">
              <w:rPr>
                <w:rFonts w:ascii="Times New Roman" w:eastAsia="標楷體" w:hAnsi="Times New Roman" w:cs="Arial" w:hint="eastAsia"/>
                <w:color w:val="000000"/>
                <w:kern w:val="0"/>
                <w:sz w:val="26"/>
                <w:szCs w:val="26"/>
              </w:rPr>
              <w:t>條、第</w:t>
            </w:r>
            <w:r w:rsidRPr="0047771D">
              <w:rPr>
                <w:rFonts w:ascii="Times New Roman" w:eastAsia="標楷體" w:hAnsi="Times New Roman" w:cs="Arial" w:hint="eastAsia"/>
                <w:color w:val="000000"/>
                <w:kern w:val="0"/>
                <w:sz w:val="26"/>
                <w:szCs w:val="26"/>
              </w:rPr>
              <w:t>8</w:t>
            </w:r>
            <w:r w:rsidRPr="0047771D">
              <w:rPr>
                <w:rFonts w:ascii="Times New Roman" w:eastAsia="標楷體" w:hAnsi="Times New Roman" w:cs="Arial" w:hint="eastAsia"/>
                <w:color w:val="000000"/>
                <w:kern w:val="0"/>
                <w:sz w:val="26"/>
                <w:szCs w:val="26"/>
              </w:rPr>
              <w:t>條、第</w:t>
            </w:r>
            <w:r w:rsidRPr="0047771D">
              <w:rPr>
                <w:rFonts w:ascii="Times New Roman" w:eastAsia="標楷體" w:hAnsi="Times New Roman" w:cs="Arial" w:hint="eastAsia"/>
                <w:color w:val="000000"/>
                <w:kern w:val="0"/>
                <w:sz w:val="26"/>
                <w:szCs w:val="26"/>
              </w:rPr>
              <w:t>11</w:t>
            </w:r>
            <w:r w:rsidRPr="0047771D">
              <w:rPr>
                <w:rFonts w:ascii="Times New Roman" w:eastAsia="標楷體" w:hAnsi="Times New Roman" w:cs="Arial" w:hint="eastAsia"/>
                <w:color w:val="000000"/>
                <w:kern w:val="0"/>
                <w:sz w:val="26"/>
                <w:szCs w:val="26"/>
              </w:rPr>
              <w:t>條、第</w:t>
            </w:r>
            <w:r w:rsidRPr="0047771D">
              <w:rPr>
                <w:rFonts w:ascii="Times New Roman" w:eastAsia="標楷體" w:hAnsi="Times New Roman" w:cs="Arial" w:hint="eastAsia"/>
                <w:color w:val="000000"/>
                <w:kern w:val="0"/>
                <w:sz w:val="26"/>
                <w:szCs w:val="26"/>
              </w:rPr>
              <w:t>11</w:t>
            </w:r>
            <w:r w:rsidRPr="0047771D">
              <w:rPr>
                <w:rFonts w:ascii="Times New Roman" w:eastAsia="標楷體" w:hAnsi="Times New Roman" w:cs="Arial" w:hint="eastAsia"/>
                <w:color w:val="000000"/>
                <w:kern w:val="0"/>
                <w:sz w:val="26"/>
                <w:szCs w:val="26"/>
              </w:rPr>
              <w:t>條之</w:t>
            </w:r>
            <w:r w:rsidRPr="0047771D">
              <w:rPr>
                <w:rFonts w:ascii="Times New Roman" w:eastAsia="標楷體" w:hAnsi="Times New Roman" w:cs="Arial" w:hint="eastAsia"/>
                <w:color w:val="000000"/>
                <w:kern w:val="0"/>
                <w:sz w:val="26"/>
                <w:szCs w:val="26"/>
              </w:rPr>
              <w:t>1</w:t>
            </w:r>
          </w:p>
        </w:tc>
        <w:tc>
          <w:tcPr>
            <w:tcW w:w="1417" w:type="dxa"/>
            <w:noWrap/>
          </w:tcPr>
          <w:p w14:paraId="38ACD8E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14086618"/>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5A096E6E"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39419305"/>
                <w14:checkbox>
                  <w14:checked w14:val="1"/>
                  <w14:checkedState w14:val="0052" w14:font="Wingdings 2"/>
                  <w14:uncheckedState w14:val="2610" w14:font="MS Gothic"/>
                </w14:checkbox>
              </w:sdtPr>
              <w:sdtEndPr/>
              <w:sdtContent>
                <w:r w:rsidR="005E5F3E">
                  <w:rPr>
                    <w:rFonts w:ascii="Times New Roman" w:hAnsi="Times New Roman" w:hint="eastAsia"/>
                    <w:color w:val="000000" w:themeColor="text1"/>
                    <w:lang w:eastAsia="zh-TW"/>
                  </w:rPr>
                  <w:sym w:font="Wingdings 2" w:char="F052"/>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36DE565E"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517753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0AA416EA"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013795418"/>
                <w14:checkbox>
                  <w14:checked w14:val="0"/>
                  <w14:checkedState w14:val="0052" w14:font="Wingdings 2"/>
                  <w14:uncheckedState w14:val="2610" w14:font="MS Gothic"/>
                </w14:checkbox>
              </w:sdtPr>
              <w:sdtEndPr/>
              <w:sdtContent>
                <w:r w:rsidR="005E5F3E" w:rsidRPr="00ED4851">
                  <w:rPr>
                    <w:rFonts w:ascii="Segoe UI Symbol" w:eastAsia="標楷體" w:hAnsi="Segoe UI Symbol" w:cs="Segoe UI Symbol"/>
                    <w:color w:val="000000" w:themeColor="text1"/>
                    <w:sz w:val="26"/>
                    <w:szCs w:val="26"/>
                  </w:rPr>
                  <w:t>☐</w:t>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1A554628" w14:textId="77777777" w:rsidTr="00C97469">
        <w:tc>
          <w:tcPr>
            <w:tcW w:w="1418" w:type="dxa"/>
            <w:vMerge/>
            <w:hideMark/>
          </w:tcPr>
          <w:p w14:paraId="7ABC0B31"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1B064B18"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三</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建議廢除印花稅，以避免干擾企業營運、重複課稅及交易成本。</w:t>
            </w:r>
          </w:p>
        </w:tc>
        <w:tc>
          <w:tcPr>
            <w:tcW w:w="709" w:type="dxa"/>
            <w:hideMark/>
          </w:tcPr>
          <w:p w14:paraId="5B7B8799"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2D0DD50C" w14:textId="77777777" w:rsidR="005E5F3E" w:rsidRPr="00EF1165"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EF1165">
              <w:rPr>
                <w:rFonts w:ascii="Times New Roman" w:eastAsia="標楷體" w:hAnsi="Times New Roman" w:cs="Arial" w:hint="eastAsia"/>
                <w:b/>
                <w:bCs/>
                <w:color w:val="000000"/>
                <w:kern w:val="0"/>
                <w:sz w:val="26"/>
                <w:szCs w:val="28"/>
              </w:rPr>
              <w:t>財政部</w:t>
            </w:r>
          </w:p>
          <w:p w14:paraId="06B2E662" w14:textId="77777777" w:rsidR="005E5F3E" w:rsidRDefault="005E5F3E" w:rsidP="00C97469">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183CF9D9" w14:textId="77777777" w:rsidR="005E5F3E" w:rsidRDefault="005E5F3E" w:rsidP="00C97469">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D1">
              <w:rPr>
                <w:rFonts w:ascii="Times New Roman" w:eastAsia="標楷體" w:hAnsi="Times New Roman" w:cs="Arial" w:hint="eastAsia"/>
                <w:color w:val="000000"/>
                <w:kern w:val="0"/>
                <w:sz w:val="26"/>
                <w:szCs w:val="26"/>
              </w:rPr>
              <w:t>印花稅無重複課稅問題</w:t>
            </w:r>
          </w:p>
          <w:p w14:paraId="7649AECE" w14:textId="77777777" w:rsidR="005E5F3E" w:rsidRPr="00B828D1"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B828D1">
              <w:rPr>
                <w:rFonts w:ascii="Times New Roman" w:eastAsia="標楷體" w:hAnsi="Times New Roman" w:cs="Arial" w:hint="eastAsia"/>
                <w:color w:val="000000"/>
                <w:kern w:val="0"/>
                <w:sz w:val="26"/>
                <w:szCs w:val="26"/>
              </w:rPr>
              <w:t>印花稅為憑證稅，係對「銀錢收據」、「買賣動產契據」、「承攬契據」與「典賣、讓受及分割不動產契據」</w:t>
            </w:r>
            <w:r w:rsidRPr="00B828D1">
              <w:rPr>
                <w:rFonts w:ascii="Times New Roman" w:eastAsia="標楷體" w:hAnsi="Times New Roman" w:cs="Arial" w:hint="eastAsia"/>
                <w:color w:val="000000"/>
                <w:kern w:val="0"/>
                <w:sz w:val="26"/>
                <w:szCs w:val="26"/>
              </w:rPr>
              <w:t>4</w:t>
            </w:r>
            <w:r w:rsidRPr="00B828D1">
              <w:rPr>
                <w:rFonts w:ascii="Times New Roman" w:eastAsia="標楷體" w:hAnsi="Times New Roman" w:cs="Arial" w:hint="eastAsia"/>
                <w:color w:val="000000"/>
                <w:kern w:val="0"/>
                <w:sz w:val="26"/>
                <w:szCs w:val="26"/>
              </w:rPr>
              <w:t>種應稅憑證課</w:t>
            </w:r>
            <w:proofErr w:type="gramStart"/>
            <w:r w:rsidRPr="00B828D1">
              <w:rPr>
                <w:rFonts w:ascii="Times New Roman" w:eastAsia="標楷體" w:hAnsi="Times New Roman" w:cs="Arial" w:hint="eastAsia"/>
                <w:color w:val="000000"/>
                <w:kern w:val="0"/>
                <w:sz w:val="26"/>
                <w:szCs w:val="26"/>
              </w:rPr>
              <w:t>徵</w:t>
            </w:r>
            <w:proofErr w:type="gramEnd"/>
            <w:r w:rsidRPr="00B828D1">
              <w:rPr>
                <w:rFonts w:ascii="Times New Roman" w:eastAsia="標楷體" w:hAnsi="Times New Roman" w:cs="Arial" w:hint="eastAsia"/>
                <w:color w:val="000000"/>
                <w:kern w:val="0"/>
                <w:sz w:val="26"/>
                <w:szCs w:val="26"/>
              </w:rPr>
              <w:t>，其納稅義務時</w:t>
            </w:r>
            <w:r w:rsidRPr="00B828D1">
              <w:rPr>
                <w:rFonts w:ascii="Times New Roman" w:eastAsia="標楷體" w:hAnsi="Times New Roman" w:cs="Arial" w:hint="eastAsia"/>
                <w:color w:val="000000"/>
                <w:kern w:val="0"/>
                <w:sz w:val="26"/>
                <w:szCs w:val="26"/>
              </w:rPr>
              <w:lastRenderedPageBreak/>
              <w:t>點為應稅憑證交付或使用時，與所得稅、營業稅、土地增值稅及契稅，分就所得、消費、不動產之移轉或取得不動產所有權行為課稅，課稅主體及客體均不同，尚無重複課稅問題。</w:t>
            </w:r>
          </w:p>
          <w:p w14:paraId="03C3FECA" w14:textId="77777777" w:rsidR="005E5F3E" w:rsidRDefault="005E5F3E" w:rsidP="00C97469">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D1">
              <w:rPr>
                <w:rFonts w:ascii="Times New Roman" w:eastAsia="標楷體" w:hAnsi="Times New Roman" w:cs="Arial" w:hint="eastAsia"/>
                <w:color w:val="000000"/>
                <w:kern w:val="0"/>
                <w:sz w:val="26"/>
                <w:szCs w:val="26"/>
              </w:rPr>
              <w:t>印花稅為地方政府重要財源</w:t>
            </w:r>
          </w:p>
          <w:p w14:paraId="111238DE" w14:textId="77777777" w:rsidR="005E5F3E" w:rsidRPr="00727D21"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54211">
              <w:rPr>
                <w:rFonts w:ascii="Times New Roman" w:eastAsia="標楷體" w:hAnsi="Times New Roman" w:cs="Arial" w:hint="eastAsia"/>
                <w:color w:val="000000"/>
                <w:kern w:val="0"/>
                <w:sz w:val="26"/>
                <w:szCs w:val="26"/>
              </w:rPr>
              <w:t>依財劃法第</w:t>
            </w:r>
            <w:r w:rsidRPr="00354211">
              <w:rPr>
                <w:rFonts w:ascii="Times New Roman" w:eastAsia="標楷體" w:hAnsi="Times New Roman" w:cs="Arial" w:hint="eastAsia"/>
                <w:color w:val="000000"/>
                <w:kern w:val="0"/>
                <w:sz w:val="26"/>
                <w:szCs w:val="26"/>
              </w:rPr>
              <w:t>12</w:t>
            </w:r>
            <w:r w:rsidRPr="00354211">
              <w:rPr>
                <w:rFonts w:ascii="Times New Roman" w:eastAsia="標楷體" w:hAnsi="Times New Roman" w:cs="Arial" w:hint="eastAsia"/>
                <w:color w:val="000000"/>
                <w:kern w:val="0"/>
                <w:sz w:val="26"/>
                <w:szCs w:val="26"/>
              </w:rPr>
              <w:t>條規定，印花稅為直轄市及縣</w:t>
            </w:r>
            <w:r w:rsidRPr="00BC4C96">
              <w:rPr>
                <w:rFonts w:ascii="Times New Roman" w:eastAsia="標楷體" w:hAnsi="Times New Roman" w:cs="Arial" w:hint="eastAsia"/>
                <w:color w:val="000000"/>
                <w:kern w:val="0"/>
                <w:sz w:val="26"/>
                <w:szCs w:val="26"/>
              </w:rPr>
              <w:t>（</w:t>
            </w:r>
            <w:r w:rsidRPr="00354211">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354211">
              <w:rPr>
                <w:rFonts w:ascii="Times New Roman" w:eastAsia="標楷體" w:hAnsi="Times New Roman" w:cs="Arial" w:hint="eastAsia"/>
                <w:color w:val="000000"/>
                <w:kern w:val="0"/>
                <w:sz w:val="26"/>
                <w:szCs w:val="26"/>
              </w:rPr>
              <w:t>稅，其稅收歸屬直轄市及縣</w:t>
            </w:r>
            <w:r w:rsidRPr="00BC4C96">
              <w:rPr>
                <w:rFonts w:ascii="Times New Roman" w:eastAsia="標楷體" w:hAnsi="Times New Roman" w:cs="Arial" w:hint="eastAsia"/>
                <w:color w:val="000000"/>
                <w:kern w:val="0"/>
                <w:sz w:val="26"/>
                <w:szCs w:val="26"/>
              </w:rPr>
              <w:t>（</w:t>
            </w:r>
            <w:r w:rsidRPr="00354211">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354211">
              <w:rPr>
                <w:rFonts w:ascii="Times New Roman" w:eastAsia="標楷體" w:hAnsi="Times New Roman" w:cs="Arial" w:hint="eastAsia"/>
                <w:color w:val="000000"/>
                <w:kern w:val="0"/>
                <w:sz w:val="26"/>
                <w:szCs w:val="26"/>
              </w:rPr>
              <w:t>政府，</w:t>
            </w:r>
            <w:r w:rsidRPr="00354211">
              <w:rPr>
                <w:rFonts w:ascii="Times New Roman" w:eastAsia="標楷體" w:hAnsi="Times New Roman" w:cs="Arial" w:hint="eastAsia"/>
                <w:color w:val="000000"/>
                <w:kern w:val="0"/>
                <w:sz w:val="26"/>
                <w:szCs w:val="26"/>
              </w:rPr>
              <w:t>2024</w:t>
            </w:r>
            <w:r w:rsidRPr="00354211">
              <w:rPr>
                <w:rFonts w:ascii="Times New Roman" w:eastAsia="標楷體" w:hAnsi="Times New Roman" w:cs="Arial" w:hint="eastAsia"/>
                <w:color w:val="000000"/>
                <w:kern w:val="0"/>
                <w:sz w:val="26"/>
                <w:szCs w:val="26"/>
              </w:rPr>
              <w:t>年稅收約</w:t>
            </w:r>
            <w:r w:rsidRPr="00354211">
              <w:rPr>
                <w:rFonts w:ascii="Times New Roman" w:eastAsia="標楷體" w:hAnsi="Times New Roman" w:cs="Arial" w:hint="eastAsia"/>
                <w:color w:val="000000"/>
                <w:kern w:val="0"/>
                <w:sz w:val="26"/>
                <w:szCs w:val="26"/>
              </w:rPr>
              <w:t>188.25</w:t>
            </w:r>
            <w:r w:rsidRPr="00354211">
              <w:rPr>
                <w:rFonts w:ascii="Times New Roman" w:eastAsia="標楷體" w:hAnsi="Times New Roman" w:cs="Arial" w:hint="eastAsia"/>
                <w:color w:val="000000"/>
                <w:kern w:val="0"/>
                <w:sz w:val="26"/>
                <w:szCs w:val="26"/>
              </w:rPr>
              <w:t>億元，為地方政府重要稅收，屬推動地方建設重要財源</w:t>
            </w:r>
            <w:r w:rsidRPr="00727D21">
              <w:rPr>
                <w:rFonts w:ascii="Times New Roman" w:eastAsia="標楷體" w:hAnsi="Times New Roman" w:cs="Arial" w:hint="eastAsia"/>
                <w:color w:val="000000"/>
                <w:kern w:val="0"/>
                <w:sz w:val="26"/>
                <w:szCs w:val="26"/>
              </w:rPr>
              <w:t>。</w:t>
            </w:r>
          </w:p>
          <w:p w14:paraId="031C59F2" w14:textId="77777777" w:rsidR="005E5F3E" w:rsidRDefault="005E5F3E" w:rsidP="00C97469">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D1">
              <w:rPr>
                <w:rFonts w:ascii="Times New Roman" w:eastAsia="標楷體" w:hAnsi="Times New Roman" w:cs="Arial" w:hint="eastAsia"/>
                <w:color w:val="000000"/>
                <w:kern w:val="0"/>
                <w:sz w:val="26"/>
                <w:szCs w:val="26"/>
              </w:rPr>
              <w:t>各</w:t>
            </w:r>
            <w:proofErr w:type="gramStart"/>
            <w:r w:rsidRPr="00B828D1">
              <w:rPr>
                <w:rFonts w:ascii="Times New Roman" w:eastAsia="標楷體" w:hAnsi="Times New Roman" w:cs="Arial" w:hint="eastAsia"/>
                <w:color w:val="000000"/>
                <w:kern w:val="0"/>
                <w:sz w:val="26"/>
                <w:szCs w:val="26"/>
              </w:rPr>
              <w:t>地方政府均不同意</w:t>
            </w:r>
            <w:proofErr w:type="gramEnd"/>
            <w:r w:rsidRPr="00B828D1">
              <w:rPr>
                <w:rFonts w:ascii="Times New Roman" w:eastAsia="標楷體" w:hAnsi="Times New Roman" w:cs="Arial" w:hint="eastAsia"/>
                <w:color w:val="000000"/>
                <w:kern w:val="0"/>
                <w:sz w:val="26"/>
                <w:szCs w:val="26"/>
              </w:rPr>
              <w:t>廢除</w:t>
            </w:r>
          </w:p>
          <w:p w14:paraId="71B33C5A" w14:textId="77777777" w:rsidR="005E5F3E" w:rsidRPr="00D87911"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54211">
              <w:rPr>
                <w:rFonts w:ascii="Times New Roman" w:eastAsia="標楷體" w:hAnsi="Times New Roman" w:cs="Arial" w:hint="eastAsia"/>
                <w:color w:val="000000"/>
                <w:kern w:val="0"/>
                <w:sz w:val="26"/>
                <w:szCs w:val="26"/>
              </w:rPr>
              <w:t>財政部多次徵詢各地方政府意見，均表示印花稅為其重要稅收，基於財政自主，</w:t>
            </w:r>
            <w:proofErr w:type="gramStart"/>
            <w:r w:rsidRPr="00354211">
              <w:rPr>
                <w:rFonts w:ascii="Times New Roman" w:eastAsia="標楷體" w:hAnsi="Times New Roman" w:cs="Arial" w:hint="eastAsia"/>
                <w:color w:val="000000"/>
                <w:kern w:val="0"/>
                <w:sz w:val="26"/>
                <w:szCs w:val="26"/>
              </w:rPr>
              <w:t>均不同意</w:t>
            </w:r>
            <w:proofErr w:type="gramEnd"/>
            <w:r w:rsidRPr="00354211">
              <w:rPr>
                <w:rFonts w:ascii="Times New Roman" w:eastAsia="標楷體" w:hAnsi="Times New Roman" w:cs="Arial" w:hint="eastAsia"/>
                <w:color w:val="000000"/>
                <w:kern w:val="0"/>
                <w:sz w:val="26"/>
                <w:szCs w:val="26"/>
              </w:rPr>
              <w:t>廢除。倘中央或立法機關擬廢除印花稅，應依財政紀律法第</w:t>
            </w:r>
            <w:r w:rsidRPr="00354211">
              <w:rPr>
                <w:rFonts w:ascii="Times New Roman" w:eastAsia="標楷體" w:hAnsi="Times New Roman" w:cs="Arial" w:hint="eastAsia"/>
                <w:color w:val="000000"/>
                <w:kern w:val="0"/>
                <w:sz w:val="26"/>
                <w:szCs w:val="26"/>
              </w:rPr>
              <w:t>5</w:t>
            </w:r>
            <w:r w:rsidRPr="00354211">
              <w:rPr>
                <w:rFonts w:ascii="Times New Roman" w:eastAsia="標楷體" w:hAnsi="Times New Roman" w:cs="Arial" w:hint="eastAsia"/>
                <w:color w:val="000000"/>
                <w:kern w:val="0"/>
                <w:sz w:val="26"/>
                <w:szCs w:val="26"/>
              </w:rPr>
              <w:t>條及財劃法第</w:t>
            </w:r>
            <w:r w:rsidRPr="00354211">
              <w:rPr>
                <w:rFonts w:ascii="Times New Roman" w:eastAsia="標楷體" w:hAnsi="Times New Roman" w:cs="Arial" w:hint="eastAsia"/>
                <w:color w:val="000000"/>
                <w:kern w:val="0"/>
                <w:sz w:val="26"/>
                <w:szCs w:val="26"/>
              </w:rPr>
              <w:t>38</w:t>
            </w:r>
            <w:r w:rsidRPr="00354211">
              <w:rPr>
                <w:rFonts w:ascii="Times New Roman" w:eastAsia="標楷體" w:hAnsi="Times New Roman" w:cs="Arial" w:hint="eastAsia"/>
                <w:color w:val="000000"/>
                <w:kern w:val="0"/>
                <w:sz w:val="26"/>
                <w:szCs w:val="26"/>
              </w:rPr>
              <w:t>條之</w:t>
            </w:r>
            <w:r w:rsidRPr="00354211">
              <w:rPr>
                <w:rFonts w:ascii="Times New Roman" w:eastAsia="標楷體" w:hAnsi="Times New Roman" w:cs="Arial" w:hint="eastAsia"/>
                <w:color w:val="000000"/>
                <w:kern w:val="0"/>
                <w:sz w:val="26"/>
                <w:szCs w:val="26"/>
              </w:rPr>
              <w:t>1</w:t>
            </w:r>
            <w:r w:rsidRPr="00354211">
              <w:rPr>
                <w:rFonts w:ascii="Times New Roman" w:eastAsia="標楷體" w:hAnsi="Times New Roman" w:cs="Arial" w:hint="eastAsia"/>
                <w:color w:val="000000"/>
                <w:kern w:val="0"/>
                <w:sz w:val="26"/>
                <w:szCs w:val="26"/>
              </w:rPr>
              <w:t>規定，就地方政府產生財政缺口具體指明彌補資金來源，而</w:t>
            </w:r>
            <w:proofErr w:type="gramStart"/>
            <w:r w:rsidRPr="00354211">
              <w:rPr>
                <w:rFonts w:ascii="Times New Roman" w:eastAsia="標楷體" w:hAnsi="Times New Roman" w:cs="Arial" w:hint="eastAsia"/>
                <w:color w:val="000000"/>
                <w:kern w:val="0"/>
                <w:sz w:val="26"/>
                <w:szCs w:val="26"/>
              </w:rPr>
              <w:t>鑑</w:t>
            </w:r>
            <w:proofErr w:type="gramEnd"/>
            <w:r w:rsidRPr="00354211">
              <w:rPr>
                <w:rFonts w:ascii="Times New Roman" w:eastAsia="標楷體" w:hAnsi="Times New Roman" w:cs="Arial" w:hint="eastAsia"/>
                <w:color w:val="000000"/>
                <w:kern w:val="0"/>
                <w:sz w:val="26"/>
                <w:szCs w:val="26"/>
              </w:rPr>
              <w:t>於替代財源籌措仍有困難，宜尊重地方政府意見</w:t>
            </w:r>
            <w:r w:rsidRPr="00D87911">
              <w:rPr>
                <w:rFonts w:ascii="Times New Roman" w:eastAsia="標楷體" w:hAnsi="Times New Roman" w:cs="Arial" w:hint="eastAsia"/>
                <w:color w:val="000000"/>
                <w:kern w:val="0"/>
                <w:sz w:val="26"/>
                <w:szCs w:val="26"/>
              </w:rPr>
              <w:t>。</w:t>
            </w:r>
          </w:p>
          <w:p w14:paraId="041F45AF" w14:textId="77777777" w:rsidR="005E5F3E" w:rsidRDefault="005E5F3E" w:rsidP="00C97469">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D1">
              <w:rPr>
                <w:rFonts w:ascii="Times New Roman" w:eastAsia="標楷體" w:hAnsi="Times New Roman" w:cs="Arial" w:hint="eastAsia"/>
                <w:color w:val="000000"/>
                <w:kern w:val="0"/>
                <w:sz w:val="26"/>
                <w:szCs w:val="26"/>
              </w:rPr>
              <w:t>優化印花稅</w:t>
            </w:r>
            <w:proofErr w:type="gramStart"/>
            <w:r w:rsidRPr="00B828D1">
              <w:rPr>
                <w:rFonts w:ascii="Times New Roman" w:eastAsia="標楷體" w:hAnsi="Times New Roman" w:cs="Arial" w:hint="eastAsia"/>
                <w:color w:val="000000"/>
                <w:kern w:val="0"/>
                <w:sz w:val="26"/>
                <w:szCs w:val="26"/>
              </w:rPr>
              <w:t>稽</w:t>
            </w:r>
            <w:proofErr w:type="gramEnd"/>
            <w:r w:rsidRPr="00B828D1">
              <w:rPr>
                <w:rFonts w:ascii="Times New Roman" w:eastAsia="標楷體" w:hAnsi="Times New Roman" w:cs="Arial" w:hint="eastAsia"/>
                <w:color w:val="000000"/>
                <w:kern w:val="0"/>
                <w:sz w:val="26"/>
                <w:szCs w:val="26"/>
              </w:rPr>
              <w:t>徵程序</w:t>
            </w:r>
          </w:p>
          <w:p w14:paraId="3EC0EDDE" w14:textId="77777777" w:rsidR="005E5F3E" w:rsidRPr="00D87911"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54211">
              <w:rPr>
                <w:rFonts w:ascii="Times New Roman" w:eastAsia="標楷體" w:hAnsi="Times New Roman" w:cs="Arial" w:hint="eastAsia"/>
                <w:color w:val="000000"/>
                <w:kern w:val="0"/>
                <w:sz w:val="26"/>
                <w:szCs w:val="26"/>
              </w:rPr>
              <w:t>財政部持續精進地方稅網路申報系統，提升報繳便利性，協助納稅義務人瞭解，並輔導其以申請開立繳款書及彙總繳納方式完稅，</w:t>
            </w:r>
            <w:proofErr w:type="gramStart"/>
            <w:r w:rsidRPr="00354211">
              <w:rPr>
                <w:rFonts w:ascii="Times New Roman" w:eastAsia="標楷體" w:hAnsi="Times New Roman" w:cs="Arial" w:hint="eastAsia"/>
                <w:color w:val="000000"/>
                <w:kern w:val="0"/>
                <w:sz w:val="26"/>
                <w:szCs w:val="26"/>
              </w:rPr>
              <w:t>減少實貼印花稅</w:t>
            </w:r>
            <w:proofErr w:type="gramEnd"/>
            <w:r w:rsidRPr="00354211">
              <w:rPr>
                <w:rFonts w:ascii="Times New Roman" w:eastAsia="標楷體" w:hAnsi="Times New Roman" w:cs="Arial" w:hint="eastAsia"/>
                <w:color w:val="000000"/>
                <w:kern w:val="0"/>
                <w:sz w:val="26"/>
                <w:szCs w:val="26"/>
              </w:rPr>
              <w:t>票。自</w:t>
            </w:r>
            <w:r w:rsidRPr="00354211">
              <w:rPr>
                <w:rFonts w:ascii="Times New Roman" w:eastAsia="標楷體" w:hAnsi="Times New Roman" w:cs="Arial" w:hint="eastAsia"/>
                <w:color w:val="000000"/>
                <w:kern w:val="0"/>
                <w:sz w:val="26"/>
                <w:szCs w:val="26"/>
              </w:rPr>
              <w:t>2023</w:t>
            </w:r>
            <w:r w:rsidRPr="00354211">
              <w:rPr>
                <w:rFonts w:ascii="Times New Roman" w:eastAsia="標楷體" w:hAnsi="Times New Roman" w:cs="Arial" w:hint="eastAsia"/>
                <w:color w:val="000000"/>
                <w:kern w:val="0"/>
                <w:sz w:val="26"/>
                <w:szCs w:val="26"/>
              </w:rPr>
              <w:t>年</w:t>
            </w:r>
            <w:r w:rsidRPr="00354211">
              <w:rPr>
                <w:rFonts w:ascii="Times New Roman" w:eastAsia="標楷體" w:hAnsi="Times New Roman" w:cs="Arial" w:hint="eastAsia"/>
                <w:color w:val="000000"/>
                <w:kern w:val="0"/>
                <w:sz w:val="26"/>
                <w:szCs w:val="26"/>
              </w:rPr>
              <w:t>10</w:t>
            </w:r>
            <w:r w:rsidRPr="00354211">
              <w:rPr>
                <w:rFonts w:ascii="Times New Roman" w:eastAsia="標楷體" w:hAnsi="Times New Roman" w:cs="Arial" w:hint="eastAsia"/>
                <w:color w:val="000000"/>
                <w:kern w:val="0"/>
                <w:sz w:val="26"/>
                <w:szCs w:val="26"/>
              </w:rPr>
              <w:t>月</w:t>
            </w:r>
            <w:r w:rsidRPr="00354211">
              <w:rPr>
                <w:rFonts w:ascii="Times New Roman" w:eastAsia="標楷體" w:hAnsi="Times New Roman" w:cs="Arial" w:hint="eastAsia"/>
                <w:color w:val="000000"/>
                <w:kern w:val="0"/>
                <w:sz w:val="26"/>
                <w:szCs w:val="26"/>
              </w:rPr>
              <w:t>1</w:t>
            </w:r>
            <w:r w:rsidRPr="00354211">
              <w:rPr>
                <w:rFonts w:ascii="Times New Roman" w:eastAsia="標楷體" w:hAnsi="Times New Roman" w:cs="Arial" w:hint="eastAsia"/>
                <w:color w:val="000000"/>
                <w:kern w:val="0"/>
                <w:sz w:val="26"/>
                <w:szCs w:val="26"/>
              </w:rPr>
              <w:t>日起</w:t>
            </w:r>
            <w:r w:rsidRPr="00354211">
              <w:rPr>
                <w:rFonts w:ascii="Times New Roman" w:eastAsia="標楷體" w:hAnsi="Times New Roman" w:cs="Arial" w:hint="eastAsia"/>
                <w:color w:val="000000"/>
                <w:kern w:val="0"/>
                <w:sz w:val="26"/>
                <w:szCs w:val="26"/>
              </w:rPr>
              <w:t>1</w:t>
            </w:r>
            <w:r w:rsidRPr="00354211">
              <w:rPr>
                <w:rFonts w:ascii="Times New Roman" w:eastAsia="標楷體" w:hAnsi="Times New Roman" w:cs="Arial" w:hint="eastAsia"/>
                <w:color w:val="000000"/>
                <w:kern w:val="0"/>
                <w:sz w:val="26"/>
                <w:szCs w:val="26"/>
              </w:rPr>
              <w:t>次申辦網路帳號可跨區全國適用</w:t>
            </w:r>
            <w:r w:rsidRPr="00D87911">
              <w:rPr>
                <w:rFonts w:ascii="Times New Roman" w:eastAsia="標楷體" w:hAnsi="Times New Roman" w:cs="Arial" w:hint="eastAsia"/>
                <w:color w:val="000000"/>
                <w:kern w:val="0"/>
                <w:sz w:val="26"/>
                <w:szCs w:val="26"/>
              </w:rPr>
              <w:t>，另納稅義務人本人使用自然人憑證及工商憑證等電子憑證報繳印花稅，得免申請帳號即可使用。</w:t>
            </w:r>
          </w:p>
          <w:p w14:paraId="0A722655" w14:textId="77777777" w:rsidR="005E5F3E" w:rsidRPr="00ED4851" w:rsidRDefault="005E5F3E" w:rsidP="00C97469">
            <w:pPr>
              <w:pStyle w:val="ab"/>
              <w:numPr>
                <w:ilvl w:val="0"/>
                <w:numId w:val="20"/>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B34174">
              <w:rPr>
                <w:rFonts w:ascii="Times New Roman" w:eastAsia="標楷體" w:hAnsi="Times New Roman" w:cs="Arial" w:hint="eastAsia"/>
                <w:color w:val="000000"/>
                <w:kern w:val="0"/>
                <w:sz w:val="26"/>
                <w:szCs w:val="26"/>
              </w:rPr>
              <w:t>印花稅法、</w:t>
            </w:r>
            <w:r w:rsidRPr="00AF7E76">
              <w:rPr>
                <w:rFonts w:ascii="Times New Roman" w:eastAsia="標楷體" w:hAnsi="Times New Roman" w:cs="Arial" w:hint="eastAsia"/>
                <w:color w:val="000000"/>
                <w:kern w:val="0"/>
                <w:sz w:val="26"/>
                <w:szCs w:val="26"/>
              </w:rPr>
              <w:t>財政收支劃分法第</w:t>
            </w:r>
            <w:r w:rsidRPr="00AF7E76">
              <w:rPr>
                <w:rFonts w:ascii="Times New Roman" w:eastAsia="標楷體" w:hAnsi="Times New Roman" w:cs="Arial" w:hint="eastAsia"/>
                <w:color w:val="000000"/>
                <w:kern w:val="0"/>
                <w:sz w:val="26"/>
                <w:szCs w:val="26"/>
              </w:rPr>
              <w:t>12</w:t>
            </w:r>
            <w:r w:rsidRPr="00AF7E76">
              <w:rPr>
                <w:rFonts w:ascii="Times New Roman" w:eastAsia="標楷體" w:hAnsi="Times New Roman" w:cs="Arial" w:hint="eastAsia"/>
                <w:color w:val="000000"/>
                <w:kern w:val="0"/>
                <w:sz w:val="26"/>
                <w:szCs w:val="26"/>
              </w:rPr>
              <w:t>條及第</w:t>
            </w:r>
            <w:r w:rsidRPr="00AF7E76">
              <w:rPr>
                <w:rFonts w:ascii="Times New Roman" w:eastAsia="標楷體" w:hAnsi="Times New Roman" w:cs="Arial" w:hint="eastAsia"/>
                <w:color w:val="000000"/>
                <w:kern w:val="0"/>
                <w:sz w:val="26"/>
                <w:szCs w:val="26"/>
              </w:rPr>
              <w:t>38</w:t>
            </w:r>
            <w:r w:rsidRPr="00AF7E76">
              <w:rPr>
                <w:rFonts w:ascii="Times New Roman" w:eastAsia="標楷體" w:hAnsi="Times New Roman" w:cs="Arial" w:hint="eastAsia"/>
                <w:color w:val="000000"/>
                <w:kern w:val="0"/>
                <w:sz w:val="26"/>
                <w:szCs w:val="26"/>
              </w:rPr>
              <w:t>條之</w:t>
            </w:r>
            <w:r w:rsidRPr="00AF7E76">
              <w:rPr>
                <w:rFonts w:ascii="Times New Roman" w:eastAsia="標楷體" w:hAnsi="Times New Roman" w:cs="Arial" w:hint="eastAsia"/>
                <w:color w:val="000000"/>
                <w:kern w:val="0"/>
                <w:sz w:val="26"/>
                <w:szCs w:val="26"/>
              </w:rPr>
              <w:t>1</w:t>
            </w:r>
            <w:r w:rsidRPr="00B34174">
              <w:rPr>
                <w:rFonts w:ascii="Times New Roman" w:eastAsia="標楷體" w:hAnsi="Times New Roman" w:cs="Arial" w:hint="eastAsia"/>
                <w:color w:val="000000"/>
                <w:kern w:val="0"/>
                <w:sz w:val="26"/>
                <w:szCs w:val="26"/>
              </w:rPr>
              <w:t>、財政紀律法第</w:t>
            </w:r>
            <w:r w:rsidRPr="00B34174">
              <w:rPr>
                <w:rFonts w:ascii="Times New Roman" w:eastAsia="標楷體" w:hAnsi="Times New Roman" w:cs="Arial" w:hint="eastAsia"/>
                <w:color w:val="000000"/>
                <w:kern w:val="0"/>
                <w:sz w:val="26"/>
                <w:szCs w:val="26"/>
              </w:rPr>
              <w:t>5</w:t>
            </w:r>
            <w:r w:rsidRPr="00B34174">
              <w:rPr>
                <w:rFonts w:ascii="Times New Roman" w:eastAsia="標楷體" w:hAnsi="Times New Roman" w:cs="Arial" w:hint="eastAsia"/>
                <w:color w:val="000000"/>
                <w:kern w:val="0"/>
                <w:sz w:val="26"/>
                <w:szCs w:val="26"/>
              </w:rPr>
              <w:t>條</w:t>
            </w:r>
          </w:p>
        </w:tc>
        <w:tc>
          <w:tcPr>
            <w:tcW w:w="1417" w:type="dxa"/>
            <w:noWrap/>
          </w:tcPr>
          <w:p w14:paraId="583545B2"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91789639"/>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0EBFAE0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784393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6A853A9B"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7876485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14263F40"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024743084"/>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1FEFEF79" w14:textId="77777777" w:rsidTr="00C97469">
        <w:tc>
          <w:tcPr>
            <w:tcW w:w="1418" w:type="dxa"/>
            <w:vMerge/>
            <w:hideMark/>
          </w:tcPr>
          <w:p w14:paraId="54712015"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12E89E46"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四</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倘若全面廢除印花稅需階段性規劃，仍可單獨檢討或刪除承攬契據之印花稅。</w:t>
            </w:r>
          </w:p>
        </w:tc>
        <w:tc>
          <w:tcPr>
            <w:tcW w:w="709" w:type="dxa"/>
            <w:hideMark/>
          </w:tcPr>
          <w:p w14:paraId="010C9257"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5A56BBD7" w14:textId="77777777" w:rsidR="005E5F3E" w:rsidRPr="00E2679C"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E2679C">
              <w:rPr>
                <w:rFonts w:ascii="Times New Roman" w:eastAsia="標楷體" w:hAnsi="Times New Roman" w:cs="Arial" w:hint="eastAsia"/>
                <w:b/>
                <w:bCs/>
                <w:color w:val="000000"/>
                <w:kern w:val="0"/>
                <w:sz w:val="26"/>
                <w:szCs w:val="28"/>
              </w:rPr>
              <w:t>財政部</w:t>
            </w:r>
          </w:p>
          <w:p w14:paraId="4C7115B3" w14:textId="77777777" w:rsidR="005E5F3E" w:rsidRDefault="005E5F3E" w:rsidP="00C97469">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295A5D3A" w14:textId="77777777" w:rsidR="005E5F3E" w:rsidRDefault="005E5F3E" w:rsidP="00C97469">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2679C">
              <w:rPr>
                <w:rFonts w:ascii="Times New Roman" w:eastAsia="標楷體" w:hAnsi="Times New Roman" w:cs="Arial" w:hint="eastAsia"/>
                <w:color w:val="000000"/>
                <w:kern w:val="0"/>
                <w:sz w:val="26"/>
                <w:szCs w:val="26"/>
              </w:rPr>
              <w:t>印花稅已修正大幅簡化稅目及稅率</w:t>
            </w:r>
          </w:p>
          <w:p w14:paraId="0AB754D0" w14:textId="77777777" w:rsidR="005E5F3E" w:rsidRPr="00E2679C"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E2679C">
              <w:rPr>
                <w:rFonts w:ascii="Times New Roman" w:eastAsia="標楷體" w:hAnsi="Times New Roman" w:cs="Arial" w:hint="eastAsia"/>
                <w:color w:val="000000"/>
                <w:kern w:val="0"/>
                <w:sz w:val="26"/>
                <w:szCs w:val="26"/>
              </w:rPr>
              <w:t>印花稅法實施迄今，</w:t>
            </w:r>
            <w:proofErr w:type="gramStart"/>
            <w:r w:rsidRPr="00E2679C">
              <w:rPr>
                <w:rFonts w:ascii="Times New Roman" w:eastAsia="標楷體" w:hAnsi="Times New Roman" w:cs="Arial" w:hint="eastAsia"/>
                <w:color w:val="000000"/>
                <w:kern w:val="0"/>
                <w:sz w:val="26"/>
                <w:szCs w:val="26"/>
              </w:rPr>
              <w:t>迭經修正</w:t>
            </w:r>
            <w:proofErr w:type="gramEnd"/>
            <w:r w:rsidRPr="00E2679C">
              <w:rPr>
                <w:rFonts w:ascii="Times New Roman" w:eastAsia="標楷體" w:hAnsi="Times New Roman" w:cs="Arial" w:hint="eastAsia"/>
                <w:color w:val="000000"/>
                <w:kern w:val="0"/>
                <w:sz w:val="26"/>
                <w:szCs w:val="26"/>
              </w:rPr>
              <w:t>，早期應課稅憑證計</w:t>
            </w:r>
            <w:r w:rsidRPr="00E2679C">
              <w:rPr>
                <w:rFonts w:ascii="Times New Roman" w:eastAsia="標楷體" w:hAnsi="Times New Roman" w:cs="Arial"/>
                <w:color w:val="000000"/>
                <w:kern w:val="0"/>
                <w:sz w:val="26"/>
                <w:szCs w:val="26"/>
              </w:rPr>
              <w:t>5</w:t>
            </w:r>
            <w:r w:rsidRPr="00E2679C">
              <w:rPr>
                <w:rFonts w:ascii="Times New Roman" w:eastAsia="標楷體" w:hAnsi="Times New Roman" w:cs="Arial" w:hint="eastAsia"/>
                <w:color w:val="000000"/>
                <w:kern w:val="0"/>
                <w:sz w:val="26"/>
                <w:szCs w:val="26"/>
              </w:rPr>
              <w:t>類</w:t>
            </w:r>
            <w:r w:rsidRPr="00E2679C">
              <w:rPr>
                <w:rFonts w:ascii="Times New Roman" w:eastAsia="標楷體" w:hAnsi="Times New Roman" w:cs="Arial"/>
                <w:color w:val="000000"/>
                <w:kern w:val="0"/>
                <w:sz w:val="26"/>
                <w:szCs w:val="26"/>
              </w:rPr>
              <w:t>30</w:t>
            </w:r>
            <w:r w:rsidRPr="00E2679C">
              <w:rPr>
                <w:rFonts w:ascii="Times New Roman" w:eastAsia="標楷體" w:hAnsi="Times New Roman" w:cs="Arial" w:hint="eastAsia"/>
                <w:color w:val="000000"/>
                <w:kern w:val="0"/>
                <w:sz w:val="26"/>
                <w:szCs w:val="26"/>
              </w:rPr>
              <w:t>目，類目繁雜，經檢討已於</w:t>
            </w:r>
            <w:r w:rsidRPr="00E2679C">
              <w:rPr>
                <w:rFonts w:ascii="Times New Roman" w:eastAsia="標楷體" w:hAnsi="Times New Roman" w:cs="Arial"/>
                <w:color w:val="000000"/>
                <w:kern w:val="0"/>
                <w:sz w:val="26"/>
                <w:szCs w:val="26"/>
              </w:rPr>
              <w:t>1978</w:t>
            </w:r>
            <w:r w:rsidRPr="00E2679C">
              <w:rPr>
                <w:rFonts w:ascii="Times New Roman" w:eastAsia="標楷體" w:hAnsi="Times New Roman" w:cs="Arial" w:hint="eastAsia"/>
                <w:color w:val="000000"/>
                <w:kern w:val="0"/>
                <w:sz w:val="26"/>
                <w:szCs w:val="26"/>
              </w:rPr>
              <w:t>年</w:t>
            </w:r>
            <w:r w:rsidRPr="00E2679C">
              <w:rPr>
                <w:rFonts w:ascii="Times New Roman" w:eastAsia="標楷體" w:hAnsi="Times New Roman" w:cs="Arial"/>
                <w:color w:val="000000"/>
                <w:kern w:val="0"/>
                <w:sz w:val="26"/>
                <w:szCs w:val="26"/>
              </w:rPr>
              <w:t>7</w:t>
            </w:r>
            <w:r w:rsidRPr="00E2679C">
              <w:rPr>
                <w:rFonts w:ascii="Times New Roman" w:eastAsia="標楷體" w:hAnsi="Times New Roman" w:cs="Arial" w:hint="eastAsia"/>
                <w:color w:val="000000"/>
                <w:kern w:val="0"/>
                <w:sz w:val="26"/>
                <w:szCs w:val="26"/>
              </w:rPr>
              <w:t>月</w:t>
            </w:r>
            <w:r w:rsidRPr="00E2679C">
              <w:rPr>
                <w:rFonts w:ascii="Times New Roman" w:eastAsia="標楷體" w:hAnsi="Times New Roman" w:cs="Arial"/>
                <w:color w:val="000000"/>
                <w:kern w:val="0"/>
                <w:sz w:val="26"/>
                <w:szCs w:val="26"/>
              </w:rPr>
              <w:t>5</w:t>
            </w:r>
            <w:r w:rsidRPr="00E2679C">
              <w:rPr>
                <w:rFonts w:ascii="Times New Roman" w:eastAsia="標楷體" w:hAnsi="Times New Roman" w:cs="Arial" w:hint="eastAsia"/>
                <w:color w:val="000000"/>
                <w:kern w:val="0"/>
                <w:sz w:val="26"/>
                <w:szCs w:val="26"/>
              </w:rPr>
              <w:t>日修正大幅簡化稅目及稅率，現行僅餘「銀錢收據」</w:t>
            </w:r>
            <w:proofErr w:type="gramStart"/>
            <w:r w:rsidRPr="00E2679C">
              <w:rPr>
                <w:rFonts w:ascii="Times New Roman" w:eastAsia="標楷體" w:hAnsi="Times New Roman" w:cs="Arial" w:hint="eastAsia"/>
                <w:color w:val="000000"/>
                <w:kern w:val="0"/>
                <w:sz w:val="26"/>
                <w:szCs w:val="26"/>
              </w:rPr>
              <w:t>［</w:t>
            </w:r>
            <w:proofErr w:type="gramEnd"/>
            <w:r w:rsidRPr="00E2679C">
              <w:rPr>
                <w:rFonts w:ascii="Times New Roman" w:eastAsia="標楷體" w:hAnsi="Times New Roman" w:cs="Arial" w:hint="eastAsia"/>
                <w:color w:val="000000"/>
                <w:kern w:val="0"/>
                <w:sz w:val="26"/>
                <w:szCs w:val="26"/>
              </w:rPr>
              <w:t>稅率每件</w:t>
            </w:r>
            <w:r w:rsidRPr="00E2679C">
              <w:rPr>
                <w:rFonts w:ascii="Times New Roman" w:eastAsia="標楷體" w:hAnsi="Times New Roman" w:cs="Arial"/>
                <w:color w:val="000000"/>
                <w:kern w:val="0"/>
                <w:sz w:val="26"/>
                <w:szCs w:val="26"/>
              </w:rPr>
              <w:t>4‰</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其中招標人收受押標金收據為</w:t>
            </w:r>
            <w:r w:rsidRPr="00E2679C">
              <w:rPr>
                <w:rFonts w:ascii="Times New Roman" w:eastAsia="標楷體" w:hAnsi="Times New Roman" w:cs="Arial"/>
                <w:color w:val="000000"/>
                <w:kern w:val="0"/>
                <w:sz w:val="26"/>
                <w:szCs w:val="26"/>
              </w:rPr>
              <w:t>1‰</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］、「買賣動產契據」</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稅額每件</w:t>
            </w:r>
            <w:r w:rsidRPr="00E2679C">
              <w:rPr>
                <w:rFonts w:ascii="Times New Roman" w:eastAsia="標楷體" w:hAnsi="Times New Roman" w:cs="Arial"/>
                <w:color w:val="000000"/>
                <w:kern w:val="0"/>
                <w:sz w:val="26"/>
                <w:szCs w:val="26"/>
              </w:rPr>
              <w:t>4</w:t>
            </w:r>
            <w:r w:rsidRPr="00E2679C">
              <w:rPr>
                <w:rFonts w:ascii="Times New Roman" w:eastAsia="標楷體" w:hAnsi="Times New Roman" w:cs="Arial" w:hint="eastAsia"/>
                <w:color w:val="000000"/>
                <w:kern w:val="0"/>
                <w:sz w:val="26"/>
                <w:szCs w:val="26"/>
              </w:rPr>
              <w:t>元</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、「承攬契據」</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稅率每件</w:t>
            </w:r>
            <w:r w:rsidRPr="00E2679C">
              <w:rPr>
                <w:rFonts w:ascii="Times New Roman" w:eastAsia="標楷體" w:hAnsi="Times New Roman" w:cs="Arial"/>
                <w:color w:val="000000"/>
                <w:kern w:val="0"/>
                <w:sz w:val="26"/>
                <w:szCs w:val="26"/>
              </w:rPr>
              <w:t>1‰</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與「典賣、讓受及分割不動產契據」</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hint="eastAsia"/>
                <w:color w:val="000000"/>
                <w:kern w:val="0"/>
                <w:sz w:val="26"/>
                <w:szCs w:val="26"/>
              </w:rPr>
              <w:t>稅率每件</w:t>
            </w:r>
            <w:r w:rsidRPr="00E2679C">
              <w:rPr>
                <w:rFonts w:ascii="Times New Roman" w:eastAsia="標楷體" w:hAnsi="Times New Roman" w:cs="Arial"/>
                <w:color w:val="000000"/>
                <w:kern w:val="0"/>
                <w:sz w:val="26"/>
                <w:szCs w:val="26"/>
              </w:rPr>
              <w:t>1‰</w:t>
            </w:r>
            <w:r w:rsidRPr="00BC4C96">
              <w:rPr>
                <w:rFonts w:ascii="Times New Roman" w:eastAsia="標楷體" w:hAnsi="Times New Roman" w:cs="Arial" w:hint="eastAsia"/>
                <w:color w:val="000000"/>
                <w:kern w:val="0"/>
                <w:sz w:val="26"/>
                <w:szCs w:val="26"/>
              </w:rPr>
              <w:t>）</w:t>
            </w:r>
            <w:r w:rsidRPr="00E2679C">
              <w:rPr>
                <w:rFonts w:ascii="Times New Roman" w:eastAsia="標楷體" w:hAnsi="Times New Roman" w:cs="Arial"/>
                <w:color w:val="000000"/>
                <w:kern w:val="0"/>
                <w:sz w:val="26"/>
                <w:szCs w:val="26"/>
              </w:rPr>
              <w:t>4</w:t>
            </w:r>
            <w:r w:rsidRPr="00E2679C">
              <w:rPr>
                <w:rFonts w:ascii="Times New Roman" w:eastAsia="標楷體" w:hAnsi="Times New Roman" w:cs="Arial" w:hint="eastAsia"/>
                <w:color w:val="000000"/>
                <w:kern w:val="0"/>
                <w:sz w:val="26"/>
                <w:szCs w:val="26"/>
              </w:rPr>
              <w:t>種應稅憑證。</w:t>
            </w:r>
          </w:p>
          <w:p w14:paraId="363D61C4" w14:textId="77777777" w:rsidR="005E5F3E" w:rsidRDefault="005E5F3E" w:rsidP="00C97469">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2679C">
              <w:rPr>
                <w:rFonts w:ascii="Times New Roman" w:eastAsia="標楷體" w:hAnsi="Times New Roman" w:cs="Arial" w:hint="eastAsia"/>
                <w:color w:val="000000"/>
                <w:kern w:val="0"/>
                <w:sz w:val="26"/>
                <w:szCs w:val="26"/>
              </w:rPr>
              <w:t>印花稅為地方政府重要財源</w:t>
            </w:r>
          </w:p>
          <w:p w14:paraId="6BDC6A80" w14:textId="77777777" w:rsidR="005E5F3E" w:rsidRPr="00A31AAA"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A31AAA">
              <w:rPr>
                <w:rFonts w:ascii="Times New Roman" w:eastAsia="標楷體" w:hAnsi="Times New Roman" w:cs="Arial" w:hint="eastAsia"/>
                <w:color w:val="000000"/>
                <w:kern w:val="0"/>
                <w:sz w:val="26"/>
                <w:szCs w:val="26"/>
              </w:rPr>
              <w:t>依財劃法第</w:t>
            </w:r>
            <w:r w:rsidRPr="00A31AAA">
              <w:rPr>
                <w:rFonts w:ascii="Times New Roman" w:eastAsia="標楷體" w:hAnsi="Times New Roman" w:cs="Arial" w:hint="eastAsia"/>
                <w:color w:val="000000"/>
                <w:kern w:val="0"/>
                <w:sz w:val="26"/>
                <w:szCs w:val="26"/>
              </w:rPr>
              <w:t>12</w:t>
            </w:r>
            <w:r w:rsidRPr="00A31AAA">
              <w:rPr>
                <w:rFonts w:ascii="Times New Roman" w:eastAsia="標楷體" w:hAnsi="Times New Roman" w:cs="Arial" w:hint="eastAsia"/>
                <w:color w:val="000000"/>
                <w:kern w:val="0"/>
                <w:sz w:val="26"/>
                <w:szCs w:val="26"/>
              </w:rPr>
              <w:t>條規定，印花稅為直轄市及縣</w:t>
            </w:r>
            <w:r w:rsidRPr="00BC4C96">
              <w:rPr>
                <w:rFonts w:ascii="Times New Roman" w:eastAsia="標楷體" w:hAnsi="Times New Roman" w:cs="Arial" w:hint="eastAsia"/>
                <w:color w:val="000000"/>
                <w:kern w:val="0"/>
                <w:sz w:val="26"/>
                <w:szCs w:val="26"/>
              </w:rPr>
              <w:t>（</w:t>
            </w:r>
            <w:r w:rsidRPr="00A31AAA">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A31AAA">
              <w:rPr>
                <w:rFonts w:ascii="Times New Roman" w:eastAsia="標楷體" w:hAnsi="Times New Roman" w:cs="Arial" w:hint="eastAsia"/>
                <w:color w:val="000000"/>
                <w:kern w:val="0"/>
                <w:sz w:val="26"/>
                <w:szCs w:val="26"/>
              </w:rPr>
              <w:t>稅，其稅收歸屬直轄市及縣</w:t>
            </w:r>
            <w:r w:rsidRPr="00BC4C96">
              <w:rPr>
                <w:rFonts w:ascii="Times New Roman" w:eastAsia="標楷體" w:hAnsi="Times New Roman" w:cs="Arial" w:hint="eastAsia"/>
                <w:color w:val="000000"/>
                <w:kern w:val="0"/>
                <w:sz w:val="26"/>
                <w:szCs w:val="26"/>
              </w:rPr>
              <w:t>（</w:t>
            </w:r>
            <w:r w:rsidRPr="00A31AAA">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A31AAA">
              <w:rPr>
                <w:rFonts w:ascii="Times New Roman" w:eastAsia="標楷體" w:hAnsi="Times New Roman" w:cs="Arial" w:hint="eastAsia"/>
                <w:color w:val="000000"/>
                <w:kern w:val="0"/>
                <w:sz w:val="26"/>
                <w:szCs w:val="26"/>
              </w:rPr>
              <w:t>政府，</w:t>
            </w:r>
            <w:r w:rsidRPr="00A31AAA">
              <w:rPr>
                <w:rFonts w:ascii="Times New Roman" w:eastAsia="標楷體" w:hAnsi="Times New Roman" w:cs="Arial" w:hint="eastAsia"/>
                <w:color w:val="000000"/>
                <w:kern w:val="0"/>
                <w:sz w:val="26"/>
                <w:szCs w:val="26"/>
              </w:rPr>
              <w:t>2024</w:t>
            </w:r>
            <w:r w:rsidRPr="00A31AAA">
              <w:rPr>
                <w:rFonts w:ascii="Times New Roman" w:eastAsia="標楷體" w:hAnsi="Times New Roman" w:cs="Arial" w:hint="eastAsia"/>
                <w:color w:val="000000"/>
                <w:kern w:val="0"/>
                <w:sz w:val="26"/>
                <w:szCs w:val="26"/>
              </w:rPr>
              <w:t>年印花稅稅收約</w:t>
            </w:r>
            <w:r w:rsidRPr="00A31AAA">
              <w:rPr>
                <w:rFonts w:ascii="Times New Roman" w:eastAsia="標楷體" w:hAnsi="Times New Roman" w:cs="Arial" w:hint="eastAsia"/>
                <w:color w:val="000000"/>
                <w:kern w:val="0"/>
                <w:sz w:val="26"/>
                <w:szCs w:val="26"/>
              </w:rPr>
              <w:t>188.25</w:t>
            </w:r>
            <w:r w:rsidRPr="00A31AAA">
              <w:rPr>
                <w:rFonts w:ascii="Times New Roman" w:eastAsia="標楷體" w:hAnsi="Times New Roman" w:cs="Arial" w:hint="eastAsia"/>
                <w:color w:val="000000"/>
                <w:kern w:val="0"/>
                <w:sz w:val="26"/>
                <w:szCs w:val="26"/>
              </w:rPr>
              <w:t>億元，為地方政府重要</w:t>
            </w:r>
            <w:r w:rsidRPr="00A31AAA">
              <w:rPr>
                <w:rFonts w:ascii="Times New Roman" w:eastAsia="標楷體" w:hAnsi="Times New Roman" w:cs="Arial" w:hint="eastAsia"/>
                <w:color w:val="000000"/>
                <w:kern w:val="0"/>
                <w:sz w:val="26"/>
                <w:szCs w:val="26"/>
              </w:rPr>
              <w:lastRenderedPageBreak/>
              <w:t>稅收，其中承攬契據印花稅推估為</w:t>
            </w:r>
            <w:r w:rsidRPr="00A31AAA">
              <w:rPr>
                <w:rFonts w:ascii="Times New Roman" w:eastAsia="標楷體" w:hAnsi="Times New Roman" w:cs="Arial" w:hint="eastAsia"/>
                <w:color w:val="000000"/>
                <w:kern w:val="0"/>
                <w:sz w:val="26"/>
                <w:szCs w:val="26"/>
              </w:rPr>
              <w:t>49.46</w:t>
            </w:r>
            <w:r w:rsidRPr="00A31AAA">
              <w:rPr>
                <w:rFonts w:ascii="Times New Roman" w:eastAsia="標楷體" w:hAnsi="Times New Roman" w:cs="Arial" w:hint="eastAsia"/>
                <w:color w:val="000000"/>
                <w:kern w:val="0"/>
                <w:sz w:val="26"/>
                <w:szCs w:val="26"/>
              </w:rPr>
              <w:t>億元，占印花稅稅收約</w:t>
            </w:r>
            <w:r w:rsidRPr="00A31AAA">
              <w:rPr>
                <w:rFonts w:ascii="Times New Roman" w:eastAsia="標楷體" w:hAnsi="Times New Roman" w:cs="Arial" w:hint="eastAsia"/>
                <w:color w:val="000000"/>
                <w:kern w:val="0"/>
                <w:sz w:val="26"/>
                <w:szCs w:val="26"/>
              </w:rPr>
              <w:t>26.27%</w:t>
            </w:r>
            <w:r w:rsidRPr="00A31AAA">
              <w:rPr>
                <w:rFonts w:ascii="Times New Roman" w:eastAsia="標楷體" w:hAnsi="Times New Roman" w:cs="Arial" w:hint="eastAsia"/>
                <w:color w:val="000000"/>
                <w:kern w:val="0"/>
                <w:sz w:val="26"/>
                <w:szCs w:val="26"/>
              </w:rPr>
              <w:t>。刪除承攬契據印花稅將嚴重影響地方財政收入，不利地方各項建設推動</w:t>
            </w:r>
            <w:r w:rsidRPr="005336DC">
              <w:rPr>
                <w:rFonts w:ascii="Times New Roman" w:eastAsia="標楷體" w:hAnsi="Times New Roman" w:cs="Arial" w:hint="eastAsia"/>
                <w:color w:val="000000"/>
                <w:kern w:val="0"/>
                <w:sz w:val="26"/>
                <w:szCs w:val="26"/>
              </w:rPr>
              <w:t>，宜尊重地方政府意見</w:t>
            </w:r>
            <w:r w:rsidRPr="00A31AAA">
              <w:rPr>
                <w:rFonts w:ascii="Times New Roman" w:eastAsia="標楷體" w:hAnsi="Times New Roman" w:cs="Arial" w:hint="eastAsia"/>
                <w:color w:val="000000"/>
                <w:kern w:val="0"/>
                <w:sz w:val="26"/>
                <w:szCs w:val="26"/>
              </w:rPr>
              <w:t>。</w:t>
            </w:r>
          </w:p>
          <w:p w14:paraId="01EEA997" w14:textId="77777777" w:rsidR="005E5F3E" w:rsidRPr="00ED4851" w:rsidRDefault="005E5F3E" w:rsidP="00C97469">
            <w:pPr>
              <w:pStyle w:val="ab"/>
              <w:numPr>
                <w:ilvl w:val="0"/>
                <w:numId w:val="21"/>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7B1F2A">
              <w:rPr>
                <w:rFonts w:ascii="Times New Roman" w:eastAsia="標楷體" w:hAnsi="Times New Roman" w:cs="Arial" w:hint="eastAsia"/>
                <w:color w:val="000000"/>
                <w:kern w:val="0"/>
                <w:sz w:val="26"/>
                <w:szCs w:val="26"/>
              </w:rPr>
              <w:t>印花稅法第</w:t>
            </w:r>
            <w:r w:rsidRPr="007B1F2A">
              <w:rPr>
                <w:rFonts w:ascii="Times New Roman" w:eastAsia="標楷體" w:hAnsi="Times New Roman" w:cs="Arial" w:hint="eastAsia"/>
                <w:color w:val="000000"/>
                <w:kern w:val="0"/>
                <w:sz w:val="26"/>
                <w:szCs w:val="26"/>
              </w:rPr>
              <w:t>5</w:t>
            </w:r>
            <w:r w:rsidRPr="007B1F2A">
              <w:rPr>
                <w:rFonts w:ascii="Times New Roman" w:eastAsia="標楷體" w:hAnsi="Times New Roman" w:cs="Arial" w:hint="eastAsia"/>
                <w:color w:val="000000"/>
                <w:kern w:val="0"/>
                <w:sz w:val="26"/>
                <w:szCs w:val="26"/>
              </w:rPr>
              <w:t>條第</w:t>
            </w:r>
            <w:r w:rsidRPr="007B1F2A">
              <w:rPr>
                <w:rFonts w:ascii="Times New Roman" w:eastAsia="標楷體" w:hAnsi="Times New Roman" w:cs="Arial" w:hint="eastAsia"/>
                <w:color w:val="000000"/>
                <w:kern w:val="0"/>
                <w:sz w:val="26"/>
                <w:szCs w:val="26"/>
              </w:rPr>
              <w:t>4</w:t>
            </w:r>
            <w:r w:rsidRPr="007B1F2A">
              <w:rPr>
                <w:rFonts w:ascii="Times New Roman" w:eastAsia="標楷體" w:hAnsi="Times New Roman" w:cs="Arial" w:hint="eastAsia"/>
                <w:color w:val="000000"/>
                <w:kern w:val="0"/>
                <w:sz w:val="26"/>
                <w:szCs w:val="26"/>
              </w:rPr>
              <w:t>款及第</w:t>
            </w:r>
            <w:r w:rsidRPr="007B1F2A">
              <w:rPr>
                <w:rFonts w:ascii="Times New Roman" w:eastAsia="標楷體" w:hAnsi="Times New Roman" w:cs="Arial" w:hint="eastAsia"/>
                <w:color w:val="000000"/>
                <w:kern w:val="0"/>
                <w:sz w:val="26"/>
                <w:szCs w:val="26"/>
              </w:rPr>
              <w:t>7</w:t>
            </w:r>
            <w:r w:rsidRPr="007B1F2A">
              <w:rPr>
                <w:rFonts w:ascii="Times New Roman" w:eastAsia="標楷體" w:hAnsi="Times New Roman" w:cs="Arial" w:hint="eastAsia"/>
                <w:color w:val="000000"/>
                <w:kern w:val="0"/>
                <w:sz w:val="26"/>
                <w:szCs w:val="26"/>
              </w:rPr>
              <w:t>條第</w:t>
            </w:r>
            <w:r w:rsidRPr="007B1F2A">
              <w:rPr>
                <w:rFonts w:ascii="Times New Roman" w:eastAsia="標楷體" w:hAnsi="Times New Roman" w:cs="Arial" w:hint="eastAsia"/>
                <w:color w:val="000000"/>
                <w:kern w:val="0"/>
                <w:sz w:val="26"/>
                <w:szCs w:val="26"/>
              </w:rPr>
              <w:t>3</w:t>
            </w:r>
            <w:r w:rsidRPr="007B1F2A">
              <w:rPr>
                <w:rFonts w:ascii="Times New Roman" w:eastAsia="標楷體" w:hAnsi="Times New Roman" w:cs="Arial" w:hint="eastAsia"/>
                <w:color w:val="000000"/>
                <w:kern w:val="0"/>
                <w:sz w:val="26"/>
                <w:szCs w:val="26"/>
              </w:rPr>
              <w:t>款；財政收支劃分法第</w:t>
            </w:r>
            <w:r w:rsidRPr="007B1F2A">
              <w:rPr>
                <w:rFonts w:ascii="Times New Roman" w:eastAsia="標楷體" w:hAnsi="Times New Roman" w:cs="Arial" w:hint="eastAsia"/>
                <w:color w:val="000000"/>
                <w:kern w:val="0"/>
                <w:sz w:val="26"/>
                <w:szCs w:val="26"/>
              </w:rPr>
              <w:t>12</w:t>
            </w:r>
            <w:r w:rsidRPr="007B1F2A">
              <w:rPr>
                <w:rFonts w:ascii="Times New Roman" w:eastAsia="標楷體" w:hAnsi="Times New Roman" w:cs="Arial" w:hint="eastAsia"/>
                <w:color w:val="000000"/>
                <w:kern w:val="0"/>
                <w:sz w:val="26"/>
                <w:szCs w:val="26"/>
              </w:rPr>
              <w:t>條</w:t>
            </w:r>
          </w:p>
        </w:tc>
        <w:tc>
          <w:tcPr>
            <w:tcW w:w="1417" w:type="dxa"/>
            <w:noWrap/>
          </w:tcPr>
          <w:p w14:paraId="3BECA759"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2630942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00DCE298"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2394892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34EDA2DB"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32745015"/>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1B8D89E6"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711615658"/>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4040E7E9" w14:textId="77777777" w:rsidTr="00C97469">
        <w:tc>
          <w:tcPr>
            <w:tcW w:w="1418" w:type="dxa"/>
            <w:vMerge w:val="restart"/>
            <w:shd w:val="clear" w:color="FFFFFF" w:fill="FFFFFF"/>
            <w:hideMark/>
          </w:tcPr>
          <w:p w14:paraId="52C2A58C" w14:textId="77777777" w:rsidR="005E5F3E" w:rsidRPr="00ED4851" w:rsidRDefault="005E5F3E" w:rsidP="000F0277">
            <w:pPr>
              <w:kinsoku w:val="0"/>
              <w:overflowPunct w:val="0"/>
              <w:spacing w:line="340" w:lineRule="exact"/>
              <w:ind w:left="521" w:hangingChars="200" w:hanging="521"/>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三、放寬金融保險業之限制，促進金融產業發展</w:t>
            </w:r>
          </w:p>
        </w:tc>
        <w:tc>
          <w:tcPr>
            <w:tcW w:w="3402" w:type="dxa"/>
            <w:hideMark/>
          </w:tcPr>
          <w:p w14:paraId="1055D0FA"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proofErr w:type="gramStart"/>
            <w:r w:rsidRPr="007D7972">
              <w:rPr>
                <w:rFonts w:ascii="Times New Roman" w:eastAsia="標楷體" w:hAnsi="Times New Roman" w:cs="Arial"/>
                <w:b/>
                <w:bCs/>
                <w:color w:val="000000"/>
                <w:kern w:val="0"/>
                <w:sz w:val="26"/>
                <w:szCs w:val="28"/>
              </w:rPr>
              <w:t>一</w:t>
            </w:r>
            <w:proofErr w:type="gramEnd"/>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建議停徵金融業專屬本業之營業稅，另立專法課徵金融安定捐，納入金融安定基金或國家主權基金。</w:t>
            </w:r>
          </w:p>
        </w:tc>
        <w:tc>
          <w:tcPr>
            <w:tcW w:w="709" w:type="dxa"/>
            <w:hideMark/>
          </w:tcPr>
          <w:p w14:paraId="473ED233"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hint="eastAsia"/>
                <w:color w:val="000000"/>
                <w:kern w:val="0"/>
                <w:sz w:val="32"/>
                <w:szCs w:val="32"/>
              </w:rPr>
              <w:sym w:font="Wingdings 2" w:char="F030"/>
            </w:r>
          </w:p>
        </w:tc>
        <w:tc>
          <w:tcPr>
            <w:tcW w:w="9214" w:type="dxa"/>
            <w:hideMark/>
          </w:tcPr>
          <w:p w14:paraId="5012BE07" w14:textId="77777777" w:rsidR="005E5F3E" w:rsidRPr="005D3524"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5D3524">
              <w:rPr>
                <w:rFonts w:ascii="Times New Roman" w:eastAsia="標楷體" w:hAnsi="Times New Roman" w:cs="Arial" w:hint="eastAsia"/>
                <w:b/>
                <w:bCs/>
                <w:color w:val="000000"/>
                <w:kern w:val="0"/>
                <w:sz w:val="26"/>
                <w:szCs w:val="28"/>
              </w:rPr>
              <w:t>財政部</w:t>
            </w:r>
          </w:p>
          <w:p w14:paraId="7A10E1AA" w14:textId="77777777" w:rsidR="005E5F3E" w:rsidRDefault="005E5F3E" w:rsidP="00C97469">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74AE2FC4" w14:textId="77777777" w:rsidR="005E5F3E" w:rsidRPr="005D3524" w:rsidRDefault="005E5F3E" w:rsidP="00C97469">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有關停徵金融業專屬本業之營業稅一節，說明如下：</w:t>
            </w:r>
          </w:p>
          <w:p w14:paraId="596B5987" w14:textId="77777777" w:rsidR="005E5F3E"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A.</w:t>
            </w:r>
            <w:r w:rsidRPr="005D3524">
              <w:rPr>
                <w:rFonts w:ascii="Times New Roman" w:eastAsia="標楷體" w:hAnsi="Times New Roman" w:cs="Arial" w:hint="eastAsia"/>
                <w:color w:val="000000"/>
                <w:kern w:val="0"/>
                <w:sz w:val="26"/>
                <w:szCs w:val="26"/>
              </w:rPr>
              <w:t>我國銀行業及保險業整體稅負未必高於其他國家</w:t>
            </w:r>
          </w:p>
          <w:p w14:paraId="06567C78" w14:textId="77777777" w:rsidR="005E5F3E" w:rsidRPr="005D3524"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我國對銀行業、保險業經營銀行、保險本業銷售額</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下稱銀保本業</w:t>
            </w:r>
            <w:r w:rsidRPr="00BC4C96">
              <w:rPr>
                <w:rFonts w:ascii="Times New Roman" w:eastAsia="標楷體" w:hAnsi="Times New Roman" w:cs="Arial" w:hint="eastAsia"/>
                <w:color w:val="000000"/>
                <w:kern w:val="0"/>
                <w:sz w:val="26"/>
                <w:szCs w:val="26"/>
              </w:rPr>
              <w:t>）</w:t>
            </w:r>
            <w:proofErr w:type="gramStart"/>
            <w:r w:rsidRPr="005D3524">
              <w:rPr>
                <w:rFonts w:ascii="Times New Roman" w:eastAsia="標楷體" w:hAnsi="Times New Roman" w:cs="Arial" w:hint="eastAsia"/>
                <w:color w:val="000000"/>
                <w:kern w:val="0"/>
                <w:sz w:val="26"/>
                <w:szCs w:val="26"/>
              </w:rPr>
              <w:t>採總額型課徵</w:t>
            </w:r>
            <w:proofErr w:type="gramEnd"/>
            <w:r w:rsidRPr="005D3524">
              <w:rPr>
                <w:rFonts w:ascii="Times New Roman" w:eastAsia="標楷體" w:hAnsi="Times New Roman" w:cs="Arial" w:hint="eastAsia"/>
                <w:color w:val="000000"/>
                <w:kern w:val="0"/>
                <w:sz w:val="26"/>
                <w:szCs w:val="26"/>
              </w:rPr>
              <w:t>營業稅，稅率</w:t>
            </w:r>
            <w:r w:rsidRPr="005D3524">
              <w:rPr>
                <w:rFonts w:ascii="Times New Roman" w:eastAsia="標楷體" w:hAnsi="Times New Roman" w:cs="Arial" w:hint="eastAsia"/>
                <w:color w:val="000000"/>
                <w:kern w:val="0"/>
                <w:sz w:val="26"/>
                <w:szCs w:val="26"/>
              </w:rPr>
              <w:t>5%</w:t>
            </w:r>
            <w:r w:rsidRPr="005D3524">
              <w:rPr>
                <w:rFonts w:ascii="Times New Roman" w:eastAsia="標楷體" w:hAnsi="Times New Roman" w:cs="Arial" w:hint="eastAsia"/>
                <w:color w:val="000000"/>
                <w:kern w:val="0"/>
                <w:sz w:val="26"/>
                <w:szCs w:val="26"/>
              </w:rPr>
              <w:t>，</w:t>
            </w:r>
            <w:r w:rsidRPr="00027FA9">
              <w:rPr>
                <w:rFonts w:ascii="Times New Roman" w:eastAsia="標楷體" w:hAnsi="Times New Roman" w:cs="Arial" w:hint="eastAsia"/>
                <w:color w:val="000000"/>
                <w:kern w:val="0"/>
                <w:sz w:val="26"/>
                <w:szCs w:val="26"/>
              </w:rPr>
              <w:t>且依總額型營業稅特性</w:t>
            </w:r>
            <w:r w:rsidRPr="005D3524">
              <w:rPr>
                <w:rFonts w:ascii="Times New Roman" w:eastAsia="標楷體" w:hAnsi="Times New Roman" w:cs="Arial" w:hint="eastAsia"/>
                <w:color w:val="000000"/>
                <w:kern w:val="0"/>
                <w:sz w:val="26"/>
                <w:szCs w:val="26"/>
              </w:rPr>
              <w:t>，進項稅額不得扣抵，需負擔進項稅額；選樣國家</w:t>
            </w:r>
            <w:proofErr w:type="gramStart"/>
            <w:r w:rsidRPr="005D3524">
              <w:rPr>
                <w:rFonts w:ascii="Times New Roman" w:eastAsia="標楷體" w:hAnsi="Times New Roman" w:cs="Arial" w:hint="eastAsia"/>
                <w:color w:val="000000"/>
                <w:kern w:val="0"/>
                <w:sz w:val="26"/>
                <w:szCs w:val="26"/>
              </w:rPr>
              <w:t>雖對銀保</w:t>
            </w:r>
            <w:proofErr w:type="gramEnd"/>
            <w:r w:rsidRPr="005D3524">
              <w:rPr>
                <w:rFonts w:ascii="Times New Roman" w:eastAsia="標楷體" w:hAnsi="Times New Roman" w:cs="Arial" w:hint="eastAsia"/>
                <w:color w:val="000000"/>
                <w:kern w:val="0"/>
                <w:sz w:val="26"/>
                <w:szCs w:val="26"/>
              </w:rPr>
              <w:t>本業大多免徵營業稅，惟其進項稅額依加值型營業稅特性不得扣抵，亦需負擔進項稅額，且稅率皆高於我國加值</w:t>
            </w:r>
            <w:proofErr w:type="gramStart"/>
            <w:r w:rsidRPr="005D3524">
              <w:rPr>
                <w:rFonts w:ascii="Times New Roman" w:eastAsia="標楷體" w:hAnsi="Times New Roman" w:cs="Arial" w:hint="eastAsia"/>
                <w:color w:val="000000"/>
                <w:kern w:val="0"/>
                <w:sz w:val="26"/>
                <w:szCs w:val="26"/>
              </w:rPr>
              <w:t>稅</w:t>
            </w:r>
            <w:proofErr w:type="gramEnd"/>
            <w:r w:rsidRPr="005D3524">
              <w:rPr>
                <w:rFonts w:ascii="Times New Roman" w:eastAsia="標楷體" w:hAnsi="Times New Roman" w:cs="Arial" w:hint="eastAsia"/>
                <w:color w:val="000000"/>
                <w:kern w:val="0"/>
                <w:sz w:val="26"/>
                <w:szCs w:val="26"/>
              </w:rPr>
              <w:t>稅率</w:t>
            </w:r>
            <w:r w:rsidRPr="005D3524">
              <w:rPr>
                <w:rFonts w:ascii="Times New Roman" w:eastAsia="標楷體" w:hAnsi="Times New Roman" w:cs="Arial" w:hint="eastAsia"/>
                <w:color w:val="000000"/>
                <w:kern w:val="0"/>
                <w:sz w:val="26"/>
                <w:szCs w:val="26"/>
              </w:rPr>
              <w:t>5%</w:t>
            </w:r>
            <w:r w:rsidRPr="005D3524">
              <w:rPr>
                <w:rFonts w:ascii="Times New Roman" w:eastAsia="標楷體" w:hAnsi="Times New Roman" w:cs="Arial" w:hint="eastAsia"/>
                <w:color w:val="000000"/>
                <w:kern w:val="0"/>
                <w:sz w:val="26"/>
                <w:szCs w:val="26"/>
              </w:rPr>
              <w:t>甚多</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例如英國稅率即高達</w:t>
            </w:r>
            <w:r w:rsidRPr="005D3524">
              <w:rPr>
                <w:rFonts w:ascii="Times New Roman" w:eastAsia="標楷體" w:hAnsi="Times New Roman" w:cs="Arial" w:hint="eastAsia"/>
                <w:color w:val="000000"/>
                <w:kern w:val="0"/>
                <w:sz w:val="26"/>
                <w:szCs w:val="26"/>
              </w:rPr>
              <w:t>20%</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w:t>
            </w:r>
            <w:r w:rsidRPr="00027FA9">
              <w:rPr>
                <w:rFonts w:ascii="Times New Roman" w:eastAsia="標楷體" w:hAnsi="Times New Roman" w:cs="Arial" w:hint="eastAsia"/>
                <w:color w:val="000000"/>
                <w:kern w:val="0"/>
                <w:sz w:val="26"/>
                <w:szCs w:val="26"/>
              </w:rPr>
              <w:t>又大多數選樣國家</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例如英國、法國</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另課徵銀行稅或保險稅</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費</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，而我國並無課</w:t>
            </w:r>
            <w:proofErr w:type="gramStart"/>
            <w:r w:rsidRPr="005D3524">
              <w:rPr>
                <w:rFonts w:ascii="Times New Roman" w:eastAsia="標楷體" w:hAnsi="Times New Roman" w:cs="Arial" w:hint="eastAsia"/>
                <w:color w:val="000000"/>
                <w:kern w:val="0"/>
                <w:sz w:val="26"/>
                <w:szCs w:val="26"/>
              </w:rPr>
              <w:t>徵</w:t>
            </w:r>
            <w:proofErr w:type="gramEnd"/>
            <w:r w:rsidRPr="005D3524">
              <w:rPr>
                <w:rFonts w:ascii="Times New Roman" w:eastAsia="標楷體" w:hAnsi="Times New Roman" w:cs="Arial" w:hint="eastAsia"/>
                <w:color w:val="000000"/>
                <w:kern w:val="0"/>
                <w:sz w:val="26"/>
                <w:szCs w:val="26"/>
              </w:rPr>
              <w:t>。</w:t>
            </w:r>
          </w:p>
          <w:p w14:paraId="3EF1B4B3" w14:textId="77777777" w:rsidR="005E5F3E" w:rsidRPr="005D3524"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B.</w:t>
            </w:r>
            <w:r w:rsidRPr="005D3524">
              <w:rPr>
                <w:rFonts w:ascii="Times New Roman" w:eastAsia="標楷體" w:hAnsi="Times New Roman" w:cs="Arial" w:hint="eastAsia"/>
                <w:color w:val="000000"/>
                <w:kern w:val="0"/>
                <w:sz w:val="26"/>
                <w:szCs w:val="26"/>
              </w:rPr>
              <w:t>現行稅率不予調整，不致影響其國際競爭力</w:t>
            </w:r>
          </w:p>
          <w:p w14:paraId="59AE1E34" w14:textId="77777777" w:rsidR="005E5F3E" w:rsidRPr="005D3524"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我國銀行業</w:t>
            </w:r>
            <w:r w:rsidRPr="005D3524">
              <w:rPr>
                <w:rFonts w:ascii="Times New Roman" w:eastAsia="標楷體" w:hAnsi="Times New Roman" w:cs="Arial" w:hint="eastAsia"/>
                <w:color w:val="000000"/>
                <w:kern w:val="0"/>
                <w:sz w:val="26"/>
                <w:szCs w:val="26"/>
              </w:rPr>
              <w:t>2024</w:t>
            </w:r>
            <w:r w:rsidRPr="005D3524">
              <w:rPr>
                <w:rFonts w:ascii="Times New Roman" w:eastAsia="標楷體" w:hAnsi="Times New Roman" w:cs="Arial" w:hint="eastAsia"/>
                <w:color w:val="000000"/>
                <w:kern w:val="0"/>
                <w:sz w:val="26"/>
                <w:szCs w:val="26"/>
              </w:rPr>
              <w:t>年獲利創歷年新高，逾期放款比率、</w:t>
            </w:r>
            <w:r w:rsidRPr="005D3524">
              <w:rPr>
                <w:rFonts w:ascii="Times New Roman" w:eastAsia="標楷體" w:hAnsi="Times New Roman" w:cs="Arial" w:hint="eastAsia"/>
                <w:color w:val="000000"/>
                <w:kern w:val="0"/>
                <w:sz w:val="26"/>
                <w:szCs w:val="26"/>
              </w:rPr>
              <w:t>ROE</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盈餘</w:t>
            </w:r>
            <w:r w:rsidRPr="005D3524">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股本</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及</w:t>
            </w:r>
            <w:r w:rsidRPr="005D3524">
              <w:rPr>
                <w:rFonts w:ascii="Times New Roman" w:eastAsia="標楷體" w:hAnsi="Times New Roman" w:cs="Arial" w:hint="eastAsia"/>
                <w:color w:val="000000"/>
                <w:kern w:val="0"/>
                <w:sz w:val="26"/>
                <w:szCs w:val="26"/>
              </w:rPr>
              <w:t>ROA</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盈餘</w:t>
            </w:r>
            <w:r w:rsidRPr="005D3524">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資產</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等國際競爭力指標均優於澳洲、韓國及日本等國家，</w:t>
            </w:r>
            <w:proofErr w:type="gramStart"/>
            <w:r w:rsidRPr="005D3524">
              <w:rPr>
                <w:rFonts w:ascii="Times New Roman" w:eastAsia="標楷體" w:hAnsi="Times New Roman" w:cs="Arial" w:hint="eastAsia"/>
                <w:color w:val="000000"/>
                <w:kern w:val="0"/>
                <w:sz w:val="26"/>
                <w:szCs w:val="26"/>
              </w:rPr>
              <w:t>爰</w:t>
            </w:r>
            <w:proofErr w:type="gramEnd"/>
            <w:r w:rsidRPr="005D3524">
              <w:rPr>
                <w:rFonts w:ascii="Times New Roman" w:eastAsia="標楷體" w:hAnsi="Times New Roman" w:cs="Arial" w:hint="eastAsia"/>
                <w:color w:val="000000"/>
                <w:kern w:val="0"/>
                <w:sz w:val="26"/>
                <w:szCs w:val="26"/>
              </w:rPr>
              <w:t>現行稅率不予調整，不致影響其國際競爭力。</w:t>
            </w:r>
          </w:p>
          <w:p w14:paraId="07C98F4E" w14:textId="77777777" w:rsidR="005E5F3E" w:rsidRPr="005D3524"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C.</w:t>
            </w:r>
            <w:r w:rsidRPr="005D3524">
              <w:rPr>
                <w:rFonts w:ascii="Times New Roman" w:eastAsia="標楷體" w:hAnsi="Times New Roman" w:cs="Arial" w:hint="eastAsia"/>
                <w:color w:val="000000"/>
                <w:kern w:val="0"/>
                <w:sz w:val="26"/>
                <w:szCs w:val="26"/>
              </w:rPr>
              <w:t>停徵金融業專屬本業營業稅稅率，不利地方財政</w:t>
            </w:r>
          </w:p>
          <w:p w14:paraId="5A8B51B7" w14:textId="77777777" w:rsidR="005E5F3E" w:rsidRPr="005D3524"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以</w:t>
            </w:r>
            <w:r w:rsidRPr="005D3524">
              <w:rPr>
                <w:rFonts w:ascii="Times New Roman" w:eastAsia="標楷體" w:hAnsi="Times New Roman" w:cs="Arial" w:hint="eastAsia"/>
                <w:color w:val="000000"/>
                <w:kern w:val="0"/>
                <w:sz w:val="26"/>
                <w:szCs w:val="26"/>
              </w:rPr>
              <w:t>2024</w:t>
            </w:r>
            <w:r w:rsidRPr="005D3524">
              <w:rPr>
                <w:rFonts w:ascii="Times New Roman" w:eastAsia="標楷體" w:hAnsi="Times New Roman" w:cs="Arial" w:hint="eastAsia"/>
                <w:color w:val="000000"/>
                <w:kern w:val="0"/>
                <w:sz w:val="26"/>
                <w:szCs w:val="26"/>
              </w:rPr>
              <w:t>年金融業營業稅稅款估算，</w:t>
            </w:r>
            <w:proofErr w:type="gramStart"/>
            <w:r w:rsidRPr="005D3524">
              <w:rPr>
                <w:rFonts w:ascii="Times New Roman" w:eastAsia="標楷體" w:hAnsi="Times New Roman" w:cs="Arial" w:hint="eastAsia"/>
                <w:color w:val="000000"/>
                <w:kern w:val="0"/>
                <w:sz w:val="26"/>
                <w:szCs w:val="26"/>
              </w:rPr>
              <w:t>倘停徵銀</w:t>
            </w:r>
            <w:proofErr w:type="gramEnd"/>
            <w:r w:rsidRPr="005D3524">
              <w:rPr>
                <w:rFonts w:ascii="Times New Roman" w:eastAsia="標楷體" w:hAnsi="Times New Roman" w:cs="Arial" w:hint="eastAsia"/>
                <w:color w:val="000000"/>
                <w:kern w:val="0"/>
                <w:sz w:val="26"/>
                <w:szCs w:val="26"/>
              </w:rPr>
              <w:t>保本業營業稅，產生之稅收損失為</w:t>
            </w:r>
            <w:r w:rsidRPr="005D3524">
              <w:rPr>
                <w:rFonts w:ascii="Times New Roman" w:eastAsia="標楷體" w:hAnsi="Times New Roman" w:cs="Arial" w:hint="eastAsia"/>
                <w:color w:val="000000"/>
                <w:kern w:val="0"/>
                <w:sz w:val="26"/>
                <w:szCs w:val="26"/>
              </w:rPr>
              <w:t>679.6</w:t>
            </w:r>
            <w:r w:rsidRPr="005D3524">
              <w:rPr>
                <w:rFonts w:ascii="Times New Roman" w:eastAsia="標楷體" w:hAnsi="Times New Roman" w:cs="Arial" w:hint="eastAsia"/>
                <w:color w:val="000000"/>
                <w:kern w:val="0"/>
                <w:sz w:val="26"/>
                <w:szCs w:val="26"/>
              </w:rPr>
              <w:t>億元，依</w:t>
            </w:r>
            <w:r w:rsidRPr="005D3524">
              <w:rPr>
                <w:rFonts w:ascii="Times New Roman" w:eastAsia="標楷體" w:hAnsi="Times New Roman" w:cs="Arial" w:hint="eastAsia"/>
                <w:color w:val="000000"/>
                <w:kern w:val="0"/>
                <w:sz w:val="26"/>
                <w:szCs w:val="26"/>
              </w:rPr>
              <w:t>2025</w:t>
            </w:r>
            <w:r w:rsidRPr="005D3524">
              <w:rPr>
                <w:rFonts w:ascii="Times New Roman" w:eastAsia="標楷體" w:hAnsi="Times New Roman" w:cs="Arial" w:hint="eastAsia"/>
                <w:color w:val="000000"/>
                <w:kern w:val="0"/>
                <w:sz w:val="26"/>
                <w:szCs w:val="26"/>
              </w:rPr>
              <w:t>年</w:t>
            </w:r>
            <w:r w:rsidRPr="005D3524">
              <w:rPr>
                <w:rFonts w:ascii="Times New Roman" w:eastAsia="標楷體" w:hAnsi="Times New Roman" w:cs="Arial" w:hint="eastAsia"/>
                <w:color w:val="000000"/>
                <w:kern w:val="0"/>
                <w:sz w:val="26"/>
                <w:szCs w:val="26"/>
              </w:rPr>
              <w:t>3</w:t>
            </w:r>
            <w:r w:rsidRPr="005D3524">
              <w:rPr>
                <w:rFonts w:ascii="Times New Roman" w:eastAsia="標楷體" w:hAnsi="Times New Roman" w:cs="Arial" w:hint="eastAsia"/>
                <w:color w:val="000000"/>
                <w:kern w:val="0"/>
                <w:sz w:val="26"/>
                <w:szCs w:val="26"/>
              </w:rPr>
              <w:t>月</w:t>
            </w:r>
            <w:r w:rsidRPr="005D3524">
              <w:rPr>
                <w:rFonts w:ascii="Times New Roman" w:eastAsia="標楷體" w:hAnsi="Times New Roman" w:cs="Arial" w:hint="eastAsia"/>
                <w:color w:val="000000"/>
                <w:kern w:val="0"/>
                <w:sz w:val="26"/>
                <w:szCs w:val="26"/>
              </w:rPr>
              <w:t>21</w:t>
            </w:r>
            <w:r w:rsidRPr="005D3524">
              <w:rPr>
                <w:rFonts w:ascii="Times New Roman" w:eastAsia="標楷體" w:hAnsi="Times New Roman" w:cs="Arial" w:hint="eastAsia"/>
                <w:color w:val="000000"/>
                <w:kern w:val="0"/>
                <w:sz w:val="26"/>
                <w:szCs w:val="26"/>
              </w:rPr>
              <w:t>日修正公布之財劃法第</w:t>
            </w:r>
            <w:r w:rsidRPr="005D3524">
              <w:rPr>
                <w:rFonts w:ascii="Times New Roman" w:eastAsia="標楷體" w:hAnsi="Times New Roman" w:cs="Arial" w:hint="eastAsia"/>
                <w:color w:val="000000"/>
                <w:kern w:val="0"/>
                <w:sz w:val="26"/>
                <w:szCs w:val="26"/>
              </w:rPr>
              <w:t>8</w:t>
            </w:r>
            <w:r w:rsidRPr="005D3524">
              <w:rPr>
                <w:rFonts w:ascii="Times New Roman" w:eastAsia="標楷體" w:hAnsi="Times New Roman" w:cs="Arial" w:hint="eastAsia"/>
                <w:color w:val="000000"/>
                <w:kern w:val="0"/>
                <w:sz w:val="26"/>
                <w:szCs w:val="26"/>
              </w:rPr>
              <w:t>條第</w:t>
            </w:r>
            <w:r w:rsidRPr="005D3524">
              <w:rPr>
                <w:rFonts w:ascii="Times New Roman" w:eastAsia="標楷體" w:hAnsi="Times New Roman" w:cs="Arial" w:hint="eastAsia"/>
                <w:color w:val="000000"/>
                <w:kern w:val="0"/>
                <w:sz w:val="26"/>
                <w:szCs w:val="26"/>
              </w:rPr>
              <w:t>2</w:t>
            </w:r>
            <w:r w:rsidRPr="005D3524">
              <w:rPr>
                <w:rFonts w:ascii="Times New Roman" w:eastAsia="標楷體" w:hAnsi="Times New Roman" w:cs="Arial" w:hint="eastAsia"/>
                <w:color w:val="000000"/>
                <w:kern w:val="0"/>
                <w:sz w:val="26"/>
                <w:szCs w:val="26"/>
              </w:rPr>
              <w:t>項規定，營業稅總收入之</w:t>
            </w:r>
            <w:r w:rsidRPr="005D3524">
              <w:rPr>
                <w:rFonts w:ascii="Times New Roman" w:eastAsia="標楷體" w:hAnsi="Times New Roman" w:cs="Arial" w:hint="eastAsia"/>
                <w:color w:val="000000"/>
                <w:kern w:val="0"/>
                <w:sz w:val="26"/>
                <w:szCs w:val="26"/>
              </w:rPr>
              <w:t>95.5%</w:t>
            </w:r>
            <w:r w:rsidRPr="005D3524">
              <w:rPr>
                <w:rFonts w:ascii="Times New Roman" w:eastAsia="標楷體" w:hAnsi="Times New Roman" w:cs="Arial" w:hint="eastAsia"/>
                <w:color w:val="000000"/>
                <w:kern w:val="0"/>
                <w:sz w:val="26"/>
                <w:szCs w:val="26"/>
              </w:rPr>
              <w:t>應由中央統籌分配直轄市、縣</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及鄉</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鎮、市</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。據此，未來營業稅稅收係地方政府重要財源，調降金融業營業稅稅率，不利地方財政健全。</w:t>
            </w:r>
          </w:p>
          <w:p w14:paraId="2DCAC408" w14:textId="77777777" w:rsidR="005E5F3E" w:rsidRPr="005D3524" w:rsidRDefault="005E5F3E" w:rsidP="00C97469">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建議所稱金融安定基金與國家金融安定基金</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下稱國安基金</w:t>
            </w:r>
            <w:r w:rsidRPr="00BC4C96">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設置目的有別</w:t>
            </w:r>
          </w:p>
          <w:p w14:paraId="56CF259F" w14:textId="77777777" w:rsidR="005E5F3E" w:rsidRPr="005D3524"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A.</w:t>
            </w:r>
            <w:r w:rsidRPr="00F03990">
              <w:rPr>
                <w:rFonts w:ascii="Times New Roman" w:eastAsia="標楷體" w:hAnsi="Times New Roman" w:cs="Arial" w:hint="eastAsia"/>
                <w:color w:val="000000"/>
                <w:kern w:val="0"/>
                <w:sz w:val="26"/>
                <w:szCs w:val="26"/>
              </w:rPr>
              <w:t>查白皮書所稱金融安定基金型態與促進金融產業發展有關，核與國安基金係為因應國內、外重大事件，維持資本市場及其他金融市場穩定，確保國家安定，為非常態性任務之設置目的有別，且國安基金成立、可運用資金總額、資金來源與相關執行事項係依「國家金融安定基金設置及管理條例」規定，</w:t>
            </w:r>
            <w:proofErr w:type="gramStart"/>
            <w:r w:rsidRPr="00F03990">
              <w:rPr>
                <w:rFonts w:ascii="Times New Roman" w:eastAsia="標楷體" w:hAnsi="Times New Roman" w:cs="Arial" w:hint="eastAsia"/>
                <w:color w:val="000000"/>
                <w:kern w:val="0"/>
                <w:sz w:val="26"/>
                <w:szCs w:val="26"/>
              </w:rPr>
              <w:lastRenderedPageBreak/>
              <w:t>爰</w:t>
            </w:r>
            <w:proofErr w:type="gramEnd"/>
            <w:r w:rsidRPr="00F03990">
              <w:rPr>
                <w:rFonts w:ascii="Times New Roman" w:eastAsia="標楷體" w:hAnsi="Times New Roman" w:cs="Arial" w:hint="eastAsia"/>
                <w:color w:val="000000"/>
                <w:kern w:val="0"/>
                <w:sz w:val="26"/>
                <w:szCs w:val="26"/>
              </w:rPr>
              <w:t>二者並無相關</w:t>
            </w:r>
            <w:r w:rsidRPr="005D3524">
              <w:rPr>
                <w:rFonts w:ascii="Times New Roman" w:eastAsia="標楷體" w:hAnsi="Times New Roman" w:cs="Arial" w:hint="eastAsia"/>
                <w:color w:val="000000"/>
                <w:kern w:val="0"/>
                <w:sz w:val="26"/>
                <w:szCs w:val="26"/>
              </w:rPr>
              <w:t>。</w:t>
            </w:r>
          </w:p>
          <w:p w14:paraId="63E31FDF" w14:textId="77777777" w:rsidR="005E5F3E" w:rsidRPr="005D3524"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D3524">
              <w:rPr>
                <w:rFonts w:ascii="Times New Roman" w:eastAsia="標楷體" w:hAnsi="Times New Roman" w:cs="Arial" w:hint="eastAsia"/>
                <w:color w:val="000000"/>
                <w:kern w:val="0"/>
                <w:sz w:val="26"/>
                <w:szCs w:val="26"/>
              </w:rPr>
              <w:t>B.</w:t>
            </w:r>
            <w:r w:rsidRPr="005D3524">
              <w:rPr>
                <w:rFonts w:ascii="Times New Roman" w:eastAsia="標楷體" w:hAnsi="Times New Roman" w:cs="Arial" w:hint="eastAsia"/>
                <w:color w:val="000000"/>
                <w:kern w:val="0"/>
                <w:sz w:val="26"/>
                <w:szCs w:val="26"/>
              </w:rPr>
              <w:t>至建議另立專法課徵金融安定捐，納入金融安定基金或國家主權基金一節，</w:t>
            </w:r>
            <w:r w:rsidRPr="00F03990">
              <w:rPr>
                <w:rFonts w:ascii="Times New Roman" w:eastAsia="標楷體" w:hAnsi="Times New Roman" w:cs="Arial" w:hint="eastAsia"/>
                <w:color w:val="000000"/>
                <w:kern w:val="0"/>
                <w:sz w:val="26"/>
                <w:szCs w:val="26"/>
              </w:rPr>
              <w:t>宜由金融產業主管機關另行酌情</w:t>
            </w:r>
            <w:proofErr w:type="gramStart"/>
            <w:r w:rsidRPr="00F03990">
              <w:rPr>
                <w:rFonts w:ascii="Times New Roman" w:eastAsia="標楷體" w:hAnsi="Times New Roman" w:cs="Arial" w:hint="eastAsia"/>
                <w:color w:val="000000"/>
                <w:kern w:val="0"/>
                <w:sz w:val="26"/>
                <w:szCs w:val="26"/>
              </w:rPr>
              <w:t>研</w:t>
            </w:r>
            <w:proofErr w:type="gramEnd"/>
            <w:r w:rsidRPr="00F03990">
              <w:rPr>
                <w:rFonts w:ascii="Times New Roman" w:eastAsia="標楷體" w:hAnsi="Times New Roman" w:cs="Arial" w:hint="eastAsia"/>
                <w:color w:val="000000"/>
                <w:kern w:val="0"/>
                <w:sz w:val="26"/>
                <w:szCs w:val="26"/>
              </w:rPr>
              <w:t>議</w:t>
            </w:r>
            <w:r w:rsidRPr="005D3524">
              <w:rPr>
                <w:rFonts w:ascii="Times New Roman" w:eastAsia="標楷體" w:hAnsi="Times New Roman" w:cs="Arial" w:hint="eastAsia"/>
                <w:color w:val="000000"/>
                <w:kern w:val="0"/>
                <w:sz w:val="26"/>
                <w:szCs w:val="26"/>
              </w:rPr>
              <w:t>。</w:t>
            </w:r>
          </w:p>
          <w:p w14:paraId="1B4AA96C" w14:textId="77777777" w:rsidR="005E5F3E" w:rsidRPr="00ED4851" w:rsidRDefault="005E5F3E" w:rsidP="00C97469">
            <w:pPr>
              <w:pStyle w:val="ab"/>
              <w:numPr>
                <w:ilvl w:val="0"/>
                <w:numId w:val="22"/>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D3524">
              <w:rPr>
                <w:rFonts w:ascii="Times New Roman" w:eastAsia="標楷體" w:hAnsi="Times New Roman" w:cs="Arial" w:hint="eastAsia"/>
                <w:color w:val="000000"/>
                <w:kern w:val="0"/>
                <w:sz w:val="26"/>
                <w:szCs w:val="26"/>
              </w:rPr>
              <w:t>加值型及非加值型營業稅法第</w:t>
            </w:r>
            <w:r w:rsidRPr="005D3524">
              <w:rPr>
                <w:rFonts w:ascii="Times New Roman" w:eastAsia="標楷體" w:hAnsi="Times New Roman" w:cs="Arial" w:hint="eastAsia"/>
                <w:color w:val="000000"/>
                <w:kern w:val="0"/>
                <w:sz w:val="26"/>
                <w:szCs w:val="26"/>
              </w:rPr>
              <w:t>11</w:t>
            </w:r>
            <w:r w:rsidRPr="005D3524">
              <w:rPr>
                <w:rFonts w:ascii="Times New Roman" w:eastAsia="標楷體" w:hAnsi="Times New Roman" w:cs="Arial" w:hint="eastAsia"/>
                <w:color w:val="000000"/>
                <w:kern w:val="0"/>
                <w:sz w:val="26"/>
                <w:szCs w:val="26"/>
              </w:rPr>
              <w:t>條；財政收支劃分法第</w:t>
            </w:r>
            <w:r w:rsidRPr="005D3524">
              <w:rPr>
                <w:rFonts w:ascii="Times New Roman" w:eastAsia="標楷體" w:hAnsi="Times New Roman" w:cs="Arial" w:hint="eastAsia"/>
                <w:color w:val="000000"/>
                <w:kern w:val="0"/>
                <w:sz w:val="26"/>
                <w:szCs w:val="26"/>
              </w:rPr>
              <w:t>8</w:t>
            </w:r>
            <w:r w:rsidRPr="005D3524">
              <w:rPr>
                <w:rFonts w:ascii="Times New Roman" w:eastAsia="標楷體" w:hAnsi="Times New Roman" w:cs="Arial" w:hint="eastAsia"/>
                <w:color w:val="000000"/>
                <w:kern w:val="0"/>
                <w:sz w:val="26"/>
                <w:szCs w:val="26"/>
              </w:rPr>
              <w:t>條</w:t>
            </w:r>
          </w:p>
        </w:tc>
        <w:tc>
          <w:tcPr>
            <w:tcW w:w="1417" w:type="dxa"/>
            <w:noWrap/>
          </w:tcPr>
          <w:p w14:paraId="1A524DE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32674081"/>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6284780E"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07911795"/>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0EFE8DB3"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5872305"/>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568ED2FC"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05853058"/>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6A2488EA" w14:textId="77777777" w:rsidTr="00C97469">
        <w:tc>
          <w:tcPr>
            <w:tcW w:w="1418" w:type="dxa"/>
            <w:vMerge/>
            <w:hideMark/>
          </w:tcPr>
          <w:p w14:paraId="150DB1BC"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vMerge w:val="restart"/>
            <w:hideMark/>
          </w:tcPr>
          <w:p w14:paraId="496835D7"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二</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如廢除金融業專屬本業之營業稅，現階段仍有困難者，建議將從事金融業專屬本業之營業稅率由</w:t>
            </w:r>
            <w:r w:rsidRPr="007D7972">
              <w:rPr>
                <w:rFonts w:ascii="Times New Roman" w:eastAsia="標楷體" w:hAnsi="Times New Roman" w:cs="Arial"/>
                <w:b/>
                <w:bCs/>
                <w:color w:val="000000"/>
                <w:kern w:val="0"/>
                <w:sz w:val="26"/>
                <w:szCs w:val="28"/>
              </w:rPr>
              <w:t>5%</w:t>
            </w:r>
            <w:r w:rsidRPr="007D7972">
              <w:rPr>
                <w:rFonts w:ascii="Times New Roman" w:eastAsia="標楷體" w:hAnsi="Times New Roman" w:cs="Arial"/>
                <w:b/>
                <w:bCs/>
                <w:color w:val="000000"/>
                <w:kern w:val="0"/>
                <w:sz w:val="26"/>
                <w:szCs w:val="28"/>
              </w:rPr>
              <w:t>降至</w:t>
            </w:r>
            <w:r w:rsidRPr="007D7972">
              <w:rPr>
                <w:rFonts w:ascii="Times New Roman" w:eastAsia="標楷體" w:hAnsi="Times New Roman" w:cs="Arial"/>
                <w:b/>
                <w:bCs/>
                <w:color w:val="000000"/>
                <w:kern w:val="0"/>
                <w:sz w:val="26"/>
                <w:szCs w:val="28"/>
              </w:rPr>
              <w:t>2%</w:t>
            </w:r>
            <w:r w:rsidRPr="007D7972">
              <w:rPr>
                <w:rFonts w:ascii="Times New Roman" w:eastAsia="標楷體" w:hAnsi="Times New Roman" w:cs="Arial"/>
                <w:b/>
                <w:bCs/>
                <w:color w:val="000000"/>
                <w:kern w:val="0"/>
                <w:sz w:val="26"/>
                <w:szCs w:val="28"/>
              </w:rPr>
              <w:t>，並將之納入金融安定基金，或國家主權基金。</w:t>
            </w:r>
          </w:p>
        </w:tc>
        <w:tc>
          <w:tcPr>
            <w:tcW w:w="709" w:type="dxa"/>
            <w:hideMark/>
          </w:tcPr>
          <w:p w14:paraId="3DE649F4"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46AFEF1B" w14:textId="77777777" w:rsidR="005E5F3E" w:rsidRPr="005C48E6"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5C48E6">
              <w:rPr>
                <w:rFonts w:ascii="Times New Roman" w:eastAsia="標楷體" w:hAnsi="Times New Roman" w:cs="Arial" w:hint="eastAsia"/>
                <w:b/>
                <w:bCs/>
                <w:color w:val="000000"/>
                <w:kern w:val="0"/>
                <w:sz w:val="26"/>
                <w:szCs w:val="28"/>
              </w:rPr>
              <w:t>財政部</w:t>
            </w:r>
          </w:p>
          <w:p w14:paraId="6674B400" w14:textId="77777777" w:rsidR="005E5F3E" w:rsidRDefault="005E5F3E" w:rsidP="00C97469">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262A51FF" w14:textId="77777777" w:rsidR="005E5F3E" w:rsidRPr="00841E51" w:rsidRDefault="005E5F3E" w:rsidP="00C97469">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有關停徵金融業專屬本業之營業稅一節，說明如下：</w:t>
            </w:r>
          </w:p>
          <w:p w14:paraId="40986FFD" w14:textId="77777777" w:rsidR="005E5F3E"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A.</w:t>
            </w:r>
            <w:r w:rsidRPr="00841E51">
              <w:rPr>
                <w:rFonts w:ascii="Times New Roman" w:eastAsia="標楷體" w:hAnsi="Times New Roman" w:cs="Arial" w:hint="eastAsia"/>
                <w:color w:val="000000"/>
                <w:kern w:val="0"/>
                <w:sz w:val="26"/>
                <w:szCs w:val="26"/>
              </w:rPr>
              <w:t>我國銀行業及保險業整體稅負未必高於其他國家</w:t>
            </w:r>
          </w:p>
          <w:p w14:paraId="330D1A46" w14:textId="77777777" w:rsidR="005E5F3E" w:rsidRPr="00841E51"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proofErr w:type="gramStart"/>
            <w:r w:rsidRPr="007921EC">
              <w:rPr>
                <w:rFonts w:ascii="Times New Roman" w:eastAsia="標楷體" w:hAnsi="Times New Roman" w:cs="Arial" w:hint="eastAsia"/>
                <w:color w:val="000000"/>
                <w:kern w:val="0"/>
                <w:sz w:val="26"/>
                <w:szCs w:val="26"/>
              </w:rPr>
              <w:t>我國對銀保</w:t>
            </w:r>
            <w:proofErr w:type="gramEnd"/>
            <w:r w:rsidRPr="007921EC">
              <w:rPr>
                <w:rFonts w:ascii="Times New Roman" w:eastAsia="標楷體" w:hAnsi="Times New Roman" w:cs="Arial" w:hint="eastAsia"/>
                <w:color w:val="000000"/>
                <w:kern w:val="0"/>
                <w:sz w:val="26"/>
                <w:szCs w:val="26"/>
              </w:rPr>
              <w:t>本業</w:t>
            </w:r>
            <w:proofErr w:type="gramStart"/>
            <w:r w:rsidRPr="007921EC">
              <w:rPr>
                <w:rFonts w:ascii="Times New Roman" w:eastAsia="標楷體" w:hAnsi="Times New Roman" w:cs="Arial" w:hint="eastAsia"/>
                <w:color w:val="000000"/>
                <w:kern w:val="0"/>
                <w:sz w:val="26"/>
                <w:szCs w:val="26"/>
              </w:rPr>
              <w:t>採總額型課徵</w:t>
            </w:r>
            <w:proofErr w:type="gramEnd"/>
            <w:r w:rsidRPr="007921EC">
              <w:rPr>
                <w:rFonts w:ascii="Times New Roman" w:eastAsia="標楷體" w:hAnsi="Times New Roman" w:cs="Arial" w:hint="eastAsia"/>
                <w:color w:val="000000"/>
                <w:kern w:val="0"/>
                <w:sz w:val="26"/>
                <w:szCs w:val="26"/>
              </w:rPr>
              <w:t>營業稅，稅率</w:t>
            </w:r>
            <w:r w:rsidRPr="007921EC">
              <w:rPr>
                <w:rFonts w:ascii="Times New Roman" w:eastAsia="標楷體" w:hAnsi="Times New Roman" w:cs="Arial" w:hint="eastAsia"/>
                <w:color w:val="000000"/>
                <w:kern w:val="0"/>
                <w:sz w:val="26"/>
                <w:szCs w:val="26"/>
              </w:rPr>
              <w:t>5%</w:t>
            </w:r>
            <w:r w:rsidRPr="007921EC">
              <w:rPr>
                <w:rFonts w:ascii="Times New Roman" w:eastAsia="標楷體" w:hAnsi="Times New Roman" w:cs="Arial" w:hint="eastAsia"/>
                <w:color w:val="000000"/>
                <w:kern w:val="0"/>
                <w:sz w:val="26"/>
                <w:szCs w:val="26"/>
              </w:rPr>
              <w:t>，且依總額型營業稅特性，進項稅額不得扣抵，需負擔進項稅額；選樣國家</w:t>
            </w:r>
            <w:proofErr w:type="gramStart"/>
            <w:r w:rsidRPr="007921EC">
              <w:rPr>
                <w:rFonts w:ascii="Times New Roman" w:eastAsia="標楷體" w:hAnsi="Times New Roman" w:cs="Arial" w:hint="eastAsia"/>
                <w:color w:val="000000"/>
                <w:kern w:val="0"/>
                <w:sz w:val="26"/>
                <w:szCs w:val="26"/>
              </w:rPr>
              <w:t>雖對銀保</w:t>
            </w:r>
            <w:proofErr w:type="gramEnd"/>
            <w:r w:rsidRPr="007921EC">
              <w:rPr>
                <w:rFonts w:ascii="Times New Roman" w:eastAsia="標楷體" w:hAnsi="Times New Roman" w:cs="Arial" w:hint="eastAsia"/>
                <w:color w:val="000000"/>
                <w:kern w:val="0"/>
                <w:sz w:val="26"/>
                <w:szCs w:val="26"/>
              </w:rPr>
              <w:t>本業大多免徵營業稅，惟其進項稅額依加值型營業稅特性不得扣抵，亦需負擔進項稅額，且稅率皆高於我國加值</w:t>
            </w:r>
            <w:proofErr w:type="gramStart"/>
            <w:r w:rsidRPr="007921EC">
              <w:rPr>
                <w:rFonts w:ascii="Times New Roman" w:eastAsia="標楷體" w:hAnsi="Times New Roman" w:cs="Arial" w:hint="eastAsia"/>
                <w:color w:val="000000"/>
                <w:kern w:val="0"/>
                <w:sz w:val="26"/>
                <w:szCs w:val="26"/>
              </w:rPr>
              <w:t>稅</w:t>
            </w:r>
            <w:proofErr w:type="gramEnd"/>
            <w:r w:rsidRPr="007921EC">
              <w:rPr>
                <w:rFonts w:ascii="Times New Roman" w:eastAsia="標楷體" w:hAnsi="Times New Roman" w:cs="Arial" w:hint="eastAsia"/>
                <w:color w:val="000000"/>
                <w:kern w:val="0"/>
                <w:sz w:val="26"/>
                <w:szCs w:val="26"/>
              </w:rPr>
              <w:t>稅率</w:t>
            </w:r>
            <w:r w:rsidRPr="007921EC">
              <w:rPr>
                <w:rFonts w:ascii="Times New Roman" w:eastAsia="標楷體" w:hAnsi="Times New Roman" w:cs="Arial" w:hint="eastAsia"/>
                <w:color w:val="000000"/>
                <w:kern w:val="0"/>
                <w:sz w:val="26"/>
                <w:szCs w:val="26"/>
              </w:rPr>
              <w:t>5%</w:t>
            </w:r>
            <w:r w:rsidRPr="007921EC">
              <w:rPr>
                <w:rFonts w:ascii="Times New Roman" w:eastAsia="標楷體" w:hAnsi="Times New Roman" w:cs="Arial" w:hint="eastAsia"/>
                <w:color w:val="000000"/>
                <w:kern w:val="0"/>
                <w:sz w:val="26"/>
                <w:szCs w:val="26"/>
              </w:rPr>
              <w:t>甚多</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例如英國稅率即高達</w:t>
            </w:r>
            <w:r w:rsidRPr="00841E51">
              <w:rPr>
                <w:rFonts w:ascii="Times New Roman" w:eastAsia="標楷體" w:hAnsi="Times New Roman" w:cs="Arial" w:hint="eastAsia"/>
                <w:color w:val="000000"/>
                <w:kern w:val="0"/>
                <w:sz w:val="26"/>
                <w:szCs w:val="26"/>
              </w:rPr>
              <w:t>20%</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w:t>
            </w:r>
            <w:r w:rsidRPr="007921EC">
              <w:rPr>
                <w:rFonts w:ascii="Times New Roman" w:eastAsia="標楷體" w:hAnsi="Times New Roman" w:cs="Arial" w:hint="eastAsia"/>
                <w:color w:val="000000"/>
                <w:kern w:val="0"/>
                <w:sz w:val="26"/>
                <w:szCs w:val="26"/>
              </w:rPr>
              <w:t>又大多數選樣國家</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例如英國、法國</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另課徵銀行稅或保險稅</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費</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，而我國並無課</w:t>
            </w:r>
            <w:proofErr w:type="gramStart"/>
            <w:r w:rsidRPr="00841E51">
              <w:rPr>
                <w:rFonts w:ascii="Times New Roman" w:eastAsia="標楷體" w:hAnsi="Times New Roman" w:cs="Arial" w:hint="eastAsia"/>
                <w:color w:val="000000"/>
                <w:kern w:val="0"/>
                <w:sz w:val="26"/>
                <w:szCs w:val="26"/>
              </w:rPr>
              <w:t>徵</w:t>
            </w:r>
            <w:proofErr w:type="gramEnd"/>
            <w:r w:rsidRPr="00841E51">
              <w:rPr>
                <w:rFonts w:ascii="Times New Roman" w:eastAsia="標楷體" w:hAnsi="Times New Roman" w:cs="Arial" w:hint="eastAsia"/>
                <w:color w:val="000000"/>
                <w:kern w:val="0"/>
                <w:sz w:val="26"/>
                <w:szCs w:val="26"/>
              </w:rPr>
              <w:t>。</w:t>
            </w:r>
          </w:p>
          <w:p w14:paraId="18B5AF59" w14:textId="77777777" w:rsidR="005E5F3E" w:rsidRPr="00841E51"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B.</w:t>
            </w:r>
            <w:r w:rsidRPr="00841E51">
              <w:rPr>
                <w:rFonts w:ascii="Times New Roman" w:eastAsia="標楷體" w:hAnsi="Times New Roman" w:cs="Arial" w:hint="eastAsia"/>
                <w:color w:val="000000"/>
                <w:kern w:val="0"/>
                <w:sz w:val="26"/>
                <w:szCs w:val="26"/>
              </w:rPr>
              <w:t>現行稅率不予調整，不致影響其國際競爭力</w:t>
            </w:r>
          </w:p>
          <w:p w14:paraId="0D149A7D" w14:textId="77777777" w:rsidR="005E5F3E" w:rsidRPr="00841E51"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我國銀行業</w:t>
            </w:r>
            <w:r w:rsidRPr="00841E51">
              <w:rPr>
                <w:rFonts w:ascii="Times New Roman" w:eastAsia="標楷體" w:hAnsi="Times New Roman" w:cs="Arial" w:hint="eastAsia"/>
                <w:color w:val="000000"/>
                <w:kern w:val="0"/>
                <w:sz w:val="26"/>
                <w:szCs w:val="26"/>
              </w:rPr>
              <w:t>2024</w:t>
            </w:r>
            <w:r w:rsidRPr="00841E51">
              <w:rPr>
                <w:rFonts w:ascii="Times New Roman" w:eastAsia="標楷體" w:hAnsi="Times New Roman" w:cs="Arial" w:hint="eastAsia"/>
                <w:color w:val="000000"/>
                <w:kern w:val="0"/>
                <w:sz w:val="26"/>
                <w:szCs w:val="26"/>
              </w:rPr>
              <w:t>年獲利創歷年新高，逾期放款比率、</w:t>
            </w:r>
            <w:r w:rsidRPr="00841E51">
              <w:rPr>
                <w:rFonts w:ascii="Times New Roman" w:eastAsia="標楷體" w:hAnsi="Times New Roman" w:cs="Arial" w:hint="eastAsia"/>
                <w:color w:val="000000"/>
                <w:kern w:val="0"/>
                <w:sz w:val="26"/>
                <w:szCs w:val="26"/>
              </w:rPr>
              <w:t>ROE</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盈餘</w:t>
            </w:r>
            <w:r w:rsidRPr="00841E51">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股本</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及</w:t>
            </w:r>
            <w:r w:rsidRPr="00841E51">
              <w:rPr>
                <w:rFonts w:ascii="Times New Roman" w:eastAsia="標楷體" w:hAnsi="Times New Roman" w:cs="Arial" w:hint="eastAsia"/>
                <w:color w:val="000000"/>
                <w:kern w:val="0"/>
                <w:sz w:val="26"/>
                <w:szCs w:val="26"/>
              </w:rPr>
              <w:t>ROA</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盈餘</w:t>
            </w:r>
            <w:r w:rsidRPr="00841E51">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資產</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等國際競爭力指標均優於澳洲、韓國及日本等國家，</w:t>
            </w:r>
            <w:proofErr w:type="gramStart"/>
            <w:r w:rsidRPr="00841E51">
              <w:rPr>
                <w:rFonts w:ascii="Times New Roman" w:eastAsia="標楷體" w:hAnsi="Times New Roman" w:cs="Arial" w:hint="eastAsia"/>
                <w:color w:val="000000"/>
                <w:kern w:val="0"/>
                <w:sz w:val="26"/>
                <w:szCs w:val="26"/>
              </w:rPr>
              <w:t>爰</w:t>
            </w:r>
            <w:proofErr w:type="gramEnd"/>
            <w:r w:rsidRPr="00841E51">
              <w:rPr>
                <w:rFonts w:ascii="Times New Roman" w:eastAsia="標楷體" w:hAnsi="Times New Roman" w:cs="Arial" w:hint="eastAsia"/>
                <w:color w:val="000000"/>
                <w:kern w:val="0"/>
                <w:sz w:val="26"/>
                <w:szCs w:val="26"/>
              </w:rPr>
              <w:t>現行稅率不予調整，不致影響其國際競爭力。</w:t>
            </w:r>
          </w:p>
          <w:p w14:paraId="6A7766E1" w14:textId="77777777" w:rsidR="005E5F3E" w:rsidRPr="00841E51"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C.</w:t>
            </w:r>
            <w:r w:rsidRPr="00841E51">
              <w:rPr>
                <w:rFonts w:ascii="Times New Roman" w:eastAsia="標楷體" w:hAnsi="Times New Roman" w:cs="Arial" w:hint="eastAsia"/>
                <w:color w:val="000000"/>
                <w:kern w:val="0"/>
                <w:sz w:val="26"/>
                <w:szCs w:val="26"/>
              </w:rPr>
              <w:t>停徵金融業專屬本業營業稅稅率，不利地方財政</w:t>
            </w:r>
          </w:p>
          <w:p w14:paraId="01B2ABCB" w14:textId="77777777" w:rsidR="005E5F3E" w:rsidRPr="00841E51" w:rsidRDefault="005E5F3E" w:rsidP="000F0277">
            <w:pPr>
              <w:kinsoku w:val="0"/>
              <w:overflowPunct w:val="0"/>
              <w:spacing w:line="340" w:lineRule="exact"/>
              <w:ind w:leftChars="210" w:left="504" w:firstLineChars="200" w:firstLine="52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以</w:t>
            </w:r>
            <w:r w:rsidRPr="00841E51">
              <w:rPr>
                <w:rFonts w:ascii="Times New Roman" w:eastAsia="標楷體" w:hAnsi="Times New Roman" w:cs="Arial" w:hint="eastAsia"/>
                <w:color w:val="000000"/>
                <w:kern w:val="0"/>
                <w:sz w:val="26"/>
                <w:szCs w:val="26"/>
              </w:rPr>
              <w:t>2024</w:t>
            </w:r>
            <w:r w:rsidRPr="00841E51">
              <w:rPr>
                <w:rFonts w:ascii="Times New Roman" w:eastAsia="標楷體" w:hAnsi="Times New Roman" w:cs="Arial" w:hint="eastAsia"/>
                <w:color w:val="000000"/>
                <w:kern w:val="0"/>
                <w:sz w:val="26"/>
                <w:szCs w:val="26"/>
              </w:rPr>
              <w:t>年金融業營業稅稅款估算，</w:t>
            </w:r>
            <w:proofErr w:type="gramStart"/>
            <w:r w:rsidRPr="00841E51">
              <w:rPr>
                <w:rFonts w:ascii="Times New Roman" w:eastAsia="標楷體" w:hAnsi="Times New Roman" w:cs="Arial" w:hint="eastAsia"/>
                <w:color w:val="000000"/>
                <w:kern w:val="0"/>
                <w:sz w:val="26"/>
                <w:szCs w:val="26"/>
              </w:rPr>
              <w:t>倘停徵銀</w:t>
            </w:r>
            <w:proofErr w:type="gramEnd"/>
            <w:r w:rsidRPr="00841E51">
              <w:rPr>
                <w:rFonts w:ascii="Times New Roman" w:eastAsia="標楷體" w:hAnsi="Times New Roman" w:cs="Arial" w:hint="eastAsia"/>
                <w:color w:val="000000"/>
                <w:kern w:val="0"/>
                <w:sz w:val="26"/>
                <w:szCs w:val="26"/>
              </w:rPr>
              <w:t>保本業營業稅，產生之稅收損失為</w:t>
            </w:r>
            <w:r w:rsidRPr="00841E51">
              <w:rPr>
                <w:rFonts w:ascii="Times New Roman" w:eastAsia="標楷體" w:hAnsi="Times New Roman" w:cs="Arial" w:hint="eastAsia"/>
                <w:color w:val="000000"/>
                <w:kern w:val="0"/>
                <w:sz w:val="26"/>
                <w:szCs w:val="26"/>
              </w:rPr>
              <w:t>679.6</w:t>
            </w:r>
            <w:r w:rsidRPr="00841E51">
              <w:rPr>
                <w:rFonts w:ascii="Times New Roman" w:eastAsia="標楷體" w:hAnsi="Times New Roman" w:cs="Arial" w:hint="eastAsia"/>
                <w:color w:val="000000"/>
                <w:kern w:val="0"/>
                <w:sz w:val="26"/>
                <w:szCs w:val="26"/>
              </w:rPr>
              <w:t>億元，依</w:t>
            </w:r>
            <w:r w:rsidRPr="00841E51">
              <w:rPr>
                <w:rFonts w:ascii="Times New Roman" w:eastAsia="標楷體" w:hAnsi="Times New Roman" w:cs="Arial" w:hint="eastAsia"/>
                <w:color w:val="000000"/>
                <w:kern w:val="0"/>
                <w:sz w:val="26"/>
                <w:szCs w:val="26"/>
              </w:rPr>
              <w:t>2025</w:t>
            </w:r>
            <w:r w:rsidRPr="00841E51">
              <w:rPr>
                <w:rFonts w:ascii="Times New Roman" w:eastAsia="標楷體" w:hAnsi="Times New Roman" w:cs="Arial" w:hint="eastAsia"/>
                <w:color w:val="000000"/>
                <w:kern w:val="0"/>
                <w:sz w:val="26"/>
                <w:szCs w:val="26"/>
              </w:rPr>
              <w:t>年</w:t>
            </w:r>
            <w:r w:rsidRPr="00841E51">
              <w:rPr>
                <w:rFonts w:ascii="Times New Roman" w:eastAsia="標楷體" w:hAnsi="Times New Roman" w:cs="Arial" w:hint="eastAsia"/>
                <w:color w:val="000000"/>
                <w:kern w:val="0"/>
                <w:sz w:val="26"/>
                <w:szCs w:val="26"/>
              </w:rPr>
              <w:t>3</w:t>
            </w:r>
            <w:r w:rsidRPr="00841E51">
              <w:rPr>
                <w:rFonts w:ascii="Times New Roman" w:eastAsia="標楷體" w:hAnsi="Times New Roman" w:cs="Arial" w:hint="eastAsia"/>
                <w:color w:val="000000"/>
                <w:kern w:val="0"/>
                <w:sz w:val="26"/>
                <w:szCs w:val="26"/>
              </w:rPr>
              <w:t>月</w:t>
            </w:r>
            <w:r w:rsidRPr="00841E51">
              <w:rPr>
                <w:rFonts w:ascii="Times New Roman" w:eastAsia="標楷體" w:hAnsi="Times New Roman" w:cs="Arial" w:hint="eastAsia"/>
                <w:color w:val="000000"/>
                <w:kern w:val="0"/>
                <w:sz w:val="26"/>
                <w:szCs w:val="26"/>
              </w:rPr>
              <w:t>21</w:t>
            </w:r>
            <w:r w:rsidRPr="00841E51">
              <w:rPr>
                <w:rFonts w:ascii="Times New Roman" w:eastAsia="標楷體" w:hAnsi="Times New Roman" w:cs="Arial" w:hint="eastAsia"/>
                <w:color w:val="000000"/>
                <w:kern w:val="0"/>
                <w:sz w:val="26"/>
                <w:szCs w:val="26"/>
              </w:rPr>
              <w:t>日修正公布之財劃法第</w:t>
            </w:r>
            <w:r w:rsidRPr="00841E51">
              <w:rPr>
                <w:rFonts w:ascii="Times New Roman" w:eastAsia="標楷體" w:hAnsi="Times New Roman" w:cs="Arial" w:hint="eastAsia"/>
                <w:color w:val="000000"/>
                <w:kern w:val="0"/>
                <w:sz w:val="26"/>
                <w:szCs w:val="26"/>
              </w:rPr>
              <w:t>8</w:t>
            </w:r>
            <w:r w:rsidRPr="00841E51">
              <w:rPr>
                <w:rFonts w:ascii="Times New Roman" w:eastAsia="標楷體" w:hAnsi="Times New Roman" w:cs="Arial" w:hint="eastAsia"/>
                <w:color w:val="000000"/>
                <w:kern w:val="0"/>
                <w:sz w:val="26"/>
                <w:szCs w:val="26"/>
              </w:rPr>
              <w:t>條第</w:t>
            </w:r>
            <w:r w:rsidRPr="00841E51">
              <w:rPr>
                <w:rFonts w:ascii="Times New Roman" w:eastAsia="標楷體" w:hAnsi="Times New Roman" w:cs="Arial" w:hint="eastAsia"/>
                <w:color w:val="000000"/>
                <w:kern w:val="0"/>
                <w:sz w:val="26"/>
                <w:szCs w:val="26"/>
              </w:rPr>
              <w:t>2</w:t>
            </w:r>
            <w:r w:rsidRPr="00841E51">
              <w:rPr>
                <w:rFonts w:ascii="Times New Roman" w:eastAsia="標楷體" w:hAnsi="Times New Roman" w:cs="Arial" w:hint="eastAsia"/>
                <w:color w:val="000000"/>
                <w:kern w:val="0"/>
                <w:sz w:val="26"/>
                <w:szCs w:val="26"/>
              </w:rPr>
              <w:t>項規定，營業稅總收入之</w:t>
            </w:r>
            <w:r w:rsidRPr="00841E51">
              <w:rPr>
                <w:rFonts w:ascii="Times New Roman" w:eastAsia="標楷體" w:hAnsi="Times New Roman" w:cs="Arial" w:hint="eastAsia"/>
                <w:color w:val="000000"/>
                <w:kern w:val="0"/>
                <w:sz w:val="26"/>
                <w:szCs w:val="26"/>
              </w:rPr>
              <w:t>95.5%</w:t>
            </w:r>
            <w:r w:rsidRPr="00841E51">
              <w:rPr>
                <w:rFonts w:ascii="Times New Roman" w:eastAsia="標楷體" w:hAnsi="Times New Roman" w:cs="Arial" w:hint="eastAsia"/>
                <w:color w:val="000000"/>
                <w:kern w:val="0"/>
                <w:sz w:val="26"/>
                <w:szCs w:val="26"/>
              </w:rPr>
              <w:t>應由中央統籌分配直轄市、縣</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市</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及鄉</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鎮、市</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。據此，未來營業稅稅收係地方政府重要財源，調降金融業營業稅稅率，不利地方財政健全。</w:t>
            </w:r>
          </w:p>
          <w:p w14:paraId="3E754D5C" w14:textId="77777777" w:rsidR="005E5F3E" w:rsidRPr="00841E51"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D.</w:t>
            </w:r>
            <w:r w:rsidRPr="00841E51">
              <w:rPr>
                <w:rFonts w:ascii="Times New Roman" w:eastAsia="標楷體" w:hAnsi="Times New Roman" w:cs="Arial" w:hint="eastAsia"/>
                <w:color w:val="000000"/>
                <w:kern w:val="0"/>
                <w:sz w:val="26"/>
                <w:szCs w:val="26"/>
              </w:rPr>
              <w:t>金融業營業稅為政府稅課收入，依財政紀律法第</w:t>
            </w:r>
            <w:r w:rsidRPr="00841E51">
              <w:rPr>
                <w:rFonts w:ascii="Times New Roman" w:eastAsia="標楷體" w:hAnsi="Times New Roman" w:cs="Arial" w:hint="eastAsia"/>
                <w:color w:val="000000"/>
                <w:kern w:val="0"/>
                <w:sz w:val="26"/>
                <w:szCs w:val="26"/>
              </w:rPr>
              <w:t>7</w:t>
            </w:r>
            <w:r w:rsidRPr="00841E51">
              <w:rPr>
                <w:rFonts w:ascii="Times New Roman" w:eastAsia="標楷體" w:hAnsi="Times New Roman" w:cs="Arial" w:hint="eastAsia"/>
                <w:color w:val="000000"/>
                <w:kern w:val="0"/>
                <w:sz w:val="26"/>
                <w:szCs w:val="26"/>
              </w:rPr>
              <w:t>條規定，各級政府及立法機關制</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訂</w:t>
            </w:r>
            <w:r w:rsidRPr="00BC4C96">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定或修正法律、法規或自治法規時，不得增訂固定經費額度或比率保障，或將政府既有收入以成立基金方式限定專款專用。</w:t>
            </w:r>
          </w:p>
          <w:p w14:paraId="35258842" w14:textId="77777777" w:rsidR="005E5F3E" w:rsidRDefault="005E5F3E" w:rsidP="00C97469">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4B5E2F">
              <w:rPr>
                <w:rFonts w:ascii="Times New Roman" w:eastAsia="標楷體" w:hAnsi="Times New Roman" w:cs="Arial" w:hint="eastAsia"/>
                <w:color w:val="000000"/>
                <w:kern w:val="0"/>
                <w:sz w:val="26"/>
                <w:szCs w:val="26"/>
              </w:rPr>
              <w:t>建議所稱金融安定基金與國安基金設置目的有別</w:t>
            </w:r>
          </w:p>
          <w:p w14:paraId="7BE9218B" w14:textId="77777777" w:rsidR="005E5F3E" w:rsidRPr="004B5E2F"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4B5E2F">
              <w:rPr>
                <w:rFonts w:ascii="Times New Roman" w:eastAsia="標楷體" w:hAnsi="Times New Roman" w:cs="Arial" w:hint="eastAsia"/>
                <w:color w:val="000000"/>
                <w:kern w:val="0"/>
                <w:sz w:val="26"/>
                <w:szCs w:val="26"/>
              </w:rPr>
              <w:t>A.</w:t>
            </w:r>
            <w:r w:rsidRPr="004B5E2F">
              <w:rPr>
                <w:rFonts w:ascii="Times New Roman" w:eastAsia="標楷體" w:hAnsi="Times New Roman" w:cs="Arial" w:hint="eastAsia"/>
                <w:color w:val="000000"/>
                <w:kern w:val="0"/>
                <w:sz w:val="26"/>
                <w:szCs w:val="26"/>
              </w:rPr>
              <w:t>查</w:t>
            </w:r>
            <w:r w:rsidRPr="003B678F">
              <w:rPr>
                <w:rFonts w:ascii="Times New Roman" w:eastAsia="標楷體" w:hAnsi="Times New Roman" w:cs="Arial" w:hint="eastAsia"/>
                <w:color w:val="000000"/>
                <w:kern w:val="0"/>
                <w:sz w:val="26"/>
                <w:szCs w:val="26"/>
              </w:rPr>
              <w:t>白皮書所稱金融安定基金型態與促進金融產業發展有關，核與國安基金係為因應國內、外重大事件，維持資本市場及其他金融市場穩定，確保國家安定，為非常態性任務之設置目的有別，且國安基金成立、可運用資金總額、</w:t>
            </w:r>
            <w:r w:rsidRPr="003B678F">
              <w:rPr>
                <w:rFonts w:ascii="Times New Roman" w:eastAsia="標楷體" w:hAnsi="Times New Roman" w:cs="Arial" w:hint="eastAsia"/>
                <w:color w:val="000000"/>
                <w:kern w:val="0"/>
                <w:sz w:val="26"/>
                <w:szCs w:val="26"/>
              </w:rPr>
              <w:lastRenderedPageBreak/>
              <w:t>資金來源與相關執行事項係依「國家金融安定基金設置及管理條例」規定，</w:t>
            </w:r>
            <w:proofErr w:type="gramStart"/>
            <w:r w:rsidRPr="003B678F">
              <w:rPr>
                <w:rFonts w:ascii="Times New Roman" w:eastAsia="標楷體" w:hAnsi="Times New Roman" w:cs="Arial" w:hint="eastAsia"/>
                <w:color w:val="000000"/>
                <w:kern w:val="0"/>
                <w:sz w:val="26"/>
                <w:szCs w:val="26"/>
              </w:rPr>
              <w:t>爰</w:t>
            </w:r>
            <w:proofErr w:type="gramEnd"/>
            <w:r w:rsidRPr="003B678F">
              <w:rPr>
                <w:rFonts w:ascii="Times New Roman" w:eastAsia="標楷體" w:hAnsi="Times New Roman" w:cs="Arial" w:hint="eastAsia"/>
                <w:color w:val="000000"/>
                <w:kern w:val="0"/>
                <w:sz w:val="26"/>
                <w:szCs w:val="26"/>
              </w:rPr>
              <w:t>二者並無相關</w:t>
            </w:r>
            <w:r w:rsidRPr="004B5E2F">
              <w:rPr>
                <w:rFonts w:ascii="Times New Roman" w:eastAsia="標楷體" w:hAnsi="Times New Roman" w:cs="Arial" w:hint="eastAsia"/>
                <w:color w:val="000000"/>
                <w:kern w:val="0"/>
                <w:sz w:val="26"/>
                <w:szCs w:val="26"/>
              </w:rPr>
              <w:t>。</w:t>
            </w:r>
          </w:p>
          <w:p w14:paraId="39B8BBF8" w14:textId="77777777" w:rsidR="005E5F3E" w:rsidRPr="00841E51"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41E51">
              <w:rPr>
                <w:rFonts w:ascii="Times New Roman" w:eastAsia="標楷體" w:hAnsi="Times New Roman" w:cs="Arial" w:hint="eastAsia"/>
                <w:color w:val="000000"/>
                <w:kern w:val="0"/>
                <w:sz w:val="26"/>
                <w:szCs w:val="26"/>
              </w:rPr>
              <w:t>B.</w:t>
            </w:r>
            <w:r w:rsidRPr="00841E51">
              <w:rPr>
                <w:rFonts w:ascii="Times New Roman" w:eastAsia="標楷體" w:hAnsi="Times New Roman" w:cs="Arial" w:hint="eastAsia"/>
                <w:color w:val="000000"/>
                <w:kern w:val="0"/>
                <w:sz w:val="26"/>
                <w:szCs w:val="26"/>
              </w:rPr>
              <w:t>至建議另立專法課徵金融安定捐，納入金融安定基金或國家主權基金一節，</w:t>
            </w:r>
            <w:r w:rsidRPr="003B678F">
              <w:rPr>
                <w:rFonts w:ascii="Times New Roman" w:eastAsia="標楷體" w:hAnsi="Times New Roman" w:cs="Arial" w:hint="eastAsia"/>
                <w:color w:val="000000"/>
                <w:kern w:val="0"/>
                <w:sz w:val="26"/>
                <w:szCs w:val="26"/>
              </w:rPr>
              <w:t>宜由金融產業主管機關另行酌情</w:t>
            </w:r>
            <w:proofErr w:type="gramStart"/>
            <w:r w:rsidRPr="003B678F">
              <w:rPr>
                <w:rFonts w:ascii="Times New Roman" w:eastAsia="標楷體" w:hAnsi="Times New Roman" w:cs="Arial" w:hint="eastAsia"/>
                <w:color w:val="000000"/>
                <w:kern w:val="0"/>
                <w:sz w:val="26"/>
                <w:szCs w:val="26"/>
              </w:rPr>
              <w:t>研</w:t>
            </w:r>
            <w:proofErr w:type="gramEnd"/>
            <w:r w:rsidRPr="003B678F">
              <w:rPr>
                <w:rFonts w:ascii="Times New Roman" w:eastAsia="標楷體" w:hAnsi="Times New Roman" w:cs="Arial" w:hint="eastAsia"/>
                <w:color w:val="000000"/>
                <w:kern w:val="0"/>
                <w:sz w:val="26"/>
                <w:szCs w:val="26"/>
              </w:rPr>
              <w:t>議</w:t>
            </w:r>
            <w:r w:rsidRPr="00841E51">
              <w:rPr>
                <w:rFonts w:ascii="Times New Roman" w:eastAsia="標楷體" w:hAnsi="Times New Roman" w:cs="Arial" w:hint="eastAsia"/>
                <w:color w:val="000000"/>
                <w:kern w:val="0"/>
                <w:sz w:val="26"/>
                <w:szCs w:val="26"/>
              </w:rPr>
              <w:t>。</w:t>
            </w:r>
          </w:p>
          <w:p w14:paraId="7F0FF746" w14:textId="77777777" w:rsidR="005E5F3E" w:rsidRPr="00ED4851" w:rsidRDefault="005E5F3E" w:rsidP="00C97469">
            <w:pPr>
              <w:pStyle w:val="ab"/>
              <w:numPr>
                <w:ilvl w:val="0"/>
                <w:numId w:val="23"/>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41E51">
              <w:rPr>
                <w:rFonts w:ascii="Times New Roman" w:eastAsia="標楷體" w:hAnsi="Times New Roman" w:cs="Arial" w:hint="eastAsia"/>
                <w:color w:val="000000"/>
                <w:kern w:val="0"/>
                <w:sz w:val="26"/>
                <w:szCs w:val="26"/>
              </w:rPr>
              <w:t>加值型及非加值型營業稅法第</w:t>
            </w:r>
            <w:r w:rsidRPr="00841E51">
              <w:rPr>
                <w:rFonts w:ascii="Times New Roman" w:eastAsia="標楷體" w:hAnsi="Times New Roman" w:cs="Arial" w:hint="eastAsia"/>
                <w:color w:val="000000"/>
                <w:kern w:val="0"/>
                <w:sz w:val="26"/>
                <w:szCs w:val="26"/>
              </w:rPr>
              <w:t>11</w:t>
            </w:r>
            <w:r w:rsidRPr="00841E51">
              <w:rPr>
                <w:rFonts w:ascii="Times New Roman" w:eastAsia="標楷體" w:hAnsi="Times New Roman" w:cs="Arial" w:hint="eastAsia"/>
                <w:color w:val="000000"/>
                <w:kern w:val="0"/>
                <w:sz w:val="26"/>
                <w:szCs w:val="26"/>
              </w:rPr>
              <w:t>條；財政收支劃分法第</w:t>
            </w:r>
            <w:r w:rsidRPr="00841E51">
              <w:rPr>
                <w:rFonts w:ascii="Times New Roman" w:eastAsia="標楷體" w:hAnsi="Times New Roman" w:cs="Arial" w:hint="eastAsia"/>
                <w:color w:val="000000"/>
                <w:kern w:val="0"/>
                <w:sz w:val="26"/>
                <w:szCs w:val="26"/>
              </w:rPr>
              <w:t>8</w:t>
            </w:r>
            <w:r w:rsidRPr="00841E51">
              <w:rPr>
                <w:rFonts w:ascii="Times New Roman" w:eastAsia="標楷體" w:hAnsi="Times New Roman" w:cs="Arial" w:hint="eastAsia"/>
                <w:color w:val="000000"/>
                <w:kern w:val="0"/>
                <w:sz w:val="26"/>
                <w:szCs w:val="26"/>
              </w:rPr>
              <w:t>條；財政紀律法第</w:t>
            </w:r>
            <w:r w:rsidRPr="00841E51">
              <w:rPr>
                <w:rFonts w:ascii="Times New Roman" w:eastAsia="標楷體" w:hAnsi="Times New Roman" w:cs="Arial" w:hint="eastAsia"/>
                <w:color w:val="000000"/>
                <w:kern w:val="0"/>
                <w:sz w:val="26"/>
                <w:szCs w:val="26"/>
              </w:rPr>
              <w:t>7</w:t>
            </w:r>
            <w:r w:rsidRPr="00841E51">
              <w:rPr>
                <w:rFonts w:ascii="Times New Roman" w:eastAsia="標楷體" w:hAnsi="Times New Roman" w:cs="Arial" w:hint="eastAsia"/>
                <w:color w:val="000000"/>
                <w:kern w:val="0"/>
                <w:sz w:val="26"/>
                <w:szCs w:val="26"/>
              </w:rPr>
              <w:t>條</w:t>
            </w:r>
          </w:p>
        </w:tc>
        <w:tc>
          <w:tcPr>
            <w:tcW w:w="1417" w:type="dxa"/>
            <w:noWrap/>
          </w:tcPr>
          <w:p w14:paraId="228E44F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85859251"/>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46F9BB2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6845157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758EDE07"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58605258"/>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04E89839"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18128089"/>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6D846AC9" w14:textId="77777777" w:rsidTr="00C97469">
        <w:tc>
          <w:tcPr>
            <w:tcW w:w="1418" w:type="dxa"/>
            <w:vMerge/>
            <w:hideMark/>
          </w:tcPr>
          <w:p w14:paraId="16A55A6B"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vMerge/>
            <w:hideMark/>
          </w:tcPr>
          <w:p w14:paraId="608A7371" w14:textId="77777777" w:rsidR="005E5F3E" w:rsidRPr="00ED4851" w:rsidRDefault="005E5F3E"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3A7B9536"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32180652" w14:textId="77777777" w:rsidR="005E5F3E" w:rsidRPr="00ED4851" w:rsidRDefault="005E5F3E" w:rsidP="000F0277">
            <w:pPr>
              <w:kinsoku w:val="0"/>
              <w:overflowPunct w:val="0"/>
              <w:spacing w:line="340" w:lineRule="exact"/>
              <w:rPr>
                <w:rFonts w:ascii="Times New Roman" w:eastAsia="標楷體" w:hAnsi="Times New Roman" w:cs="Arial"/>
                <w:b/>
                <w:bCs/>
                <w:color w:val="000000"/>
                <w:kern w:val="0"/>
                <w:sz w:val="26"/>
                <w:szCs w:val="26"/>
              </w:rPr>
            </w:pPr>
            <w:r w:rsidRPr="00ED4851">
              <w:rPr>
                <w:rFonts w:ascii="Times New Roman" w:eastAsia="標楷體" w:hAnsi="Times New Roman" w:cs="Arial" w:hint="eastAsia"/>
                <w:b/>
                <w:bCs/>
                <w:color w:val="000000"/>
                <w:kern w:val="0"/>
                <w:sz w:val="26"/>
                <w:szCs w:val="28"/>
              </w:rPr>
              <w:t>國家發展委員會</w:t>
            </w:r>
            <w:r w:rsidRPr="00ED4851">
              <w:rPr>
                <w:rFonts w:ascii="Times New Roman" w:eastAsia="標楷體" w:hAnsi="Times New Roman" w:cs="Arial" w:hint="eastAsia"/>
                <w:b/>
                <w:bCs/>
                <w:color w:val="000000"/>
                <w:kern w:val="0"/>
                <w:sz w:val="26"/>
                <w:szCs w:val="26"/>
              </w:rPr>
              <w:t>(</w:t>
            </w:r>
            <w:r w:rsidRPr="00ED4851">
              <w:rPr>
                <w:rFonts w:ascii="Times New Roman" w:eastAsia="標楷體" w:hAnsi="Times New Roman" w:cs="Arial" w:hint="eastAsia"/>
                <w:b/>
                <w:bCs/>
                <w:color w:val="000000"/>
                <w:kern w:val="0"/>
                <w:sz w:val="26"/>
                <w:szCs w:val="26"/>
              </w:rPr>
              <w:t>經濟處</w:t>
            </w:r>
            <w:r w:rsidRPr="00ED4851">
              <w:rPr>
                <w:rFonts w:ascii="Times New Roman" w:eastAsia="標楷體" w:hAnsi="Times New Roman" w:cs="Arial" w:hint="eastAsia"/>
                <w:b/>
                <w:bCs/>
                <w:color w:val="000000"/>
                <w:kern w:val="0"/>
                <w:sz w:val="26"/>
                <w:szCs w:val="26"/>
              </w:rPr>
              <w:t>)</w:t>
            </w:r>
          </w:p>
          <w:p w14:paraId="5EB73920" w14:textId="77777777" w:rsidR="005E5F3E" w:rsidRPr="00ED4851" w:rsidRDefault="005E5F3E" w:rsidP="00C97469">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36176973" w14:textId="77777777" w:rsidR="005E5F3E" w:rsidRPr="00ED4851" w:rsidRDefault="005E5F3E" w:rsidP="00C97469">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因應國際經濟情勢變化，專案</w:t>
            </w:r>
            <w:proofErr w:type="gramStart"/>
            <w:r w:rsidRPr="00ED4851">
              <w:rPr>
                <w:rFonts w:ascii="Times New Roman" w:eastAsia="標楷體" w:hAnsi="Times New Roman" w:cs="Arial" w:hint="eastAsia"/>
                <w:color w:val="000000"/>
                <w:kern w:val="0"/>
                <w:sz w:val="26"/>
                <w:szCs w:val="26"/>
              </w:rPr>
              <w:t>研</w:t>
            </w:r>
            <w:proofErr w:type="gramEnd"/>
            <w:r w:rsidRPr="00ED4851">
              <w:rPr>
                <w:rFonts w:ascii="Times New Roman" w:eastAsia="標楷體" w:hAnsi="Times New Roman" w:cs="Arial" w:hint="eastAsia"/>
                <w:color w:val="000000"/>
                <w:kern w:val="0"/>
                <w:sz w:val="26"/>
                <w:szCs w:val="26"/>
              </w:rPr>
              <w:t>議成立主權基金：衡量目前我國國家財力、產業發展及國際局勢，已具備成立主權基金之條件。行政院已邀集相關部會</w:t>
            </w:r>
            <w:proofErr w:type="gramStart"/>
            <w:r w:rsidRPr="00ED4851">
              <w:rPr>
                <w:rFonts w:ascii="Times New Roman" w:eastAsia="標楷體" w:hAnsi="Times New Roman" w:cs="Arial" w:hint="eastAsia"/>
                <w:color w:val="000000"/>
                <w:kern w:val="0"/>
                <w:sz w:val="26"/>
                <w:szCs w:val="26"/>
              </w:rPr>
              <w:t>研</w:t>
            </w:r>
            <w:proofErr w:type="gramEnd"/>
            <w:r w:rsidRPr="00ED4851">
              <w:rPr>
                <w:rFonts w:ascii="Times New Roman" w:eastAsia="標楷體" w:hAnsi="Times New Roman" w:cs="Arial" w:hint="eastAsia"/>
                <w:color w:val="000000"/>
                <w:kern w:val="0"/>
                <w:sz w:val="26"/>
                <w:szCs w:val="26"/>
              </w:rPr>
              <w:t>議，由政府主導打造國家級投資平</w:t>
            </w:r>
            <w:proofErr w:type="gramStart"/>
            <w:r>
              <w:rPr>
                <w:rFonts w:ascii="Times New Roman" w:eastAsia="標楷體" w:hAnsi="Times New Roman" w:cs="Arial" w:hint="eastAsia"/>
                <w:color w:val="000000"/>
                <w:kern w:val="0"/>
                <w:sz w:val="26"/>
                <w:szCs w:val="26"/>
              </w:rPr>
              <w:t>臺</w:t>
            </w:r>
            <w:proofErr w:type="gramEnd"/>
            <w:r w:rsidRPr="00ED4851">
              <w:rPr>
                <w:rFonts w:ascii="Times New Roman" w:eastAsia="標楷體" w:hAnsi="Times New Roman" w:cs="Arial" w:hint="eastAsia"/>
                <w:color w:val="000000"/>
                <w:kern w:val="0"/>
                <w:sz w:val="26"/>
                <w:szCs w:val="26"/>
              </w:rPr>
              <w:t>，充分運用我國產業優勢，協同民間企業力量布局全球，推升臺灣經濟發展動能。</w:t>
            </w:r>
          </w:p>
          <w:p w14:paraId="3B353F0A" w14:textId="77777777" w:rsidR="005E5F3E" w:rsidRPr="00ED4851" w:rsidRDefault="005E5F3E" w:rsidP="00C97469">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主權基金</w:t>
            </w:r>
            <w:proofErr w:type="gramStart"/>
            <w:r w:rsidRPr="00ED4851">
              <w:rPr>
                <w:rFonts w:ascii="Times New Roman" w:eastAsia="標楷體" w:hAnsi="Times New Roman" w:cs="Arial" w:hint="eastAsia"/>
                <w:color w:val="000000"/>
                <w:kern w:val="0"/>
                <w:sz w:val="26"/>
                <w:szCs w:val="26"/>
              </w:rPr>
              <w:t>籌設宜廣泛</w:t>
            </w:r>
            <w:proofErr w:type="gramEnd"/>
            <w:r w:rsidRPr="00ED4851">
              <w:rPr>
                <w:rFonts w:ascii="Times New Roman" w:eastAsia="標楷體" w:hAnsi="Times New Roman" w:cs="Arial" w:hint="eastAsia"/>
                <w:color w:val="000000"/>
                <w:kern w:val="0"/>
                <w:sz w:val="26"/>
                <w:szCs w:val="26"/>
              </w:rPr>
              <w:t>蒐集意見，審慎評估規劃，建立社會信任及全民共識：主權基金設立涉及國家長期財政規劃與產業戰略，須以最高標準審慎評估，行政團隊將參酌國際經驗，廣泛蒐集外界意見，務求制度設計符合我國經濟及產業發展實際需求，取得充分社會共識後進入具體規劃及成立階段。</w:t>
            </w:r>
          </w:p>
          <w:p w14:paraId="04C02972" w14:textId="77777777" w:rsidR="005E5F3E" w:rsidRPr="00ED4851" w:rsidRDefault="005E5F3E" w:rsidP="00C97469">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p>
        </w:tc>
        <w:tc>
          <w:tcPr>
            <w:tcW w:w="1417" w:type="dxa"/>
            <w:noWrap/>
          </w:tcPr>
          <w:p w14:paraId="5B02A07A" w14:textId="77777777" w:rsidR="005E5F3E" w:rsidRPr="006E5288" w:rsidRDefault="00F845BD" w:rsidP="000F0277">
            <w:pPr>
              <w:pStyle w:val="LO-Normal"/>
              <w:kinsoku w:val="0"/>
              <w:overflowPunct w:val="0"/>
              <w:spacing w:line="340" w:lineRule="exact"/>
              <w:jc w:val="both"/>
              <w:rPr>
                <w:rFonts w:ascii="Times New Roman" w:hAnsi="Times New Roman"/>
                <w:color w:val="auto"/>
                <w:lang w:eastAsia="zh-TW"/>
              </w:rPr>
            </w:pPr>
            <w:sdt>
              <w:sdtPr>
                <w:rPr>
                  <w:rFonts w:ascii="Times New Roman" w:hAnsi="Times New Roman" w:hint="eastAsia"/>
                  <w:color w:val="auto"/>
                  <w:lang w:eastAsia="zh-TW"/>
                </w:rPr>
                <w:id w:val="638541470"/>
                <w14:checkbox>
                  <w14:checked w14:val="0"/>
                  <w14:checkedState w14:val="0052" w14:font="Wingdings 2"/>
                  <w14:uncheckedState w14:val="2610" w14:font="MS Gothic"/>
                </w14:checkbox>
              </w:sdtPr>
              <w:sdtEndPr/>
              <w:sdtContent>
                <w:r w:rsidR="005E5F3E" w:rsidRPr="006E5288">
                  <w:rPr>
                    <w:rFonts w:ascii="Segoe UI Symbol" w:hAnsi="Segoe UI Symbol" w:cs="Segoe UI Symbol"/>
                    <w:color w:val="auto"/>
                    <w:lang w:eastAsia="zh-TW"/>
                  </w:rPr>
                  <w:t>☐</w:t>
                </w:r>
              </w:sdtContent>
            </w:sdt>
            <w:r w:rsidR="005E5F3E" w:rsidRPr="006E5288">
              <w:rPr>
                <w:rFonts w:ascii="Times New Roman" w:hAnsi="Times New Roman" w:hint="eastAsia"/>
                <w:color w:val="auto"/>
                <w:lang w:eastAsia="zh-TW"/>
              </w:rPr>
              <w:t>已參</w:t>
            </w:r>
            <w:proofErr w:type="gramStart"/>
            <w:r w:rsidR="005E5F3E" w:rsidRPr="006E5288">
              <w:rPr>
                <w:rFonts w:ascii="Times New Roman" w:hAnsi="Times New Roman" w:hint="eastAsia"/>
                <w:color w:val="auto"/>
                <w:lang w:eastAsia="zh-TW"/>
              </w:rPr>
              <w:t>採</w:t>
            </w:r>
            <w:proofErr w:type="gramEnd"/>
          </w:p>
          <w:p w14:paraId="0ED34CA7" w14:textId="77777777" w:rsidR="005E5F3E" w:rsidRPr="006E5288" w:rsidRDefault="00F845BD" w:rsidP="000F0277">
            <w:pPr>
              <w:pStyle w:val="LO-Normal"/>
              <w:kinsoku w:val="0"/>
              <w:overflowPunct w:val="0"/>
              <w:spacing w:line="340" w:lineRule="exact"/>
              <w:jc w:val="both"/>
              <w:rPr>
                <w:rFonts w:ascii="Times New Roman" w:hAnsi="Times New Roman"/>
                <w:color w:val="auto"/>
                <w:lang w:eastAsia="zh-TW"/>
              </w:rPr>
            </w:pPr>
            <w:sdt>
              <w:sdtPr>
                <w:rPr>
                  <w:rFonts w:ascii="Times New Roman" w:hAnsi="Times New Roman" w:hint="eastAsia"/>
                  <w:color w:val="auto"/>
                  <w:lang w:eastAsia="zh-TW"/>
                </w:rPr>
                <w:id w:val="561295643"/>
                <w14:checkbox>
                  <w14:checked w14:val="0"/>
                  <w14:checkedState w14:val="0052" w14:font="Wingdings 2"/>
                  <w14:uncheckedState w14:val="2610" w14:font="MS Gothic"/>
                </w14:checkbox>
              </w:sdtPr>
              <w:sdtEndPr/>
              <w:sdtContent>
                <w:r w:rsidR="005E5F3E" w:rsidRPr="006E5288">
                  <w:rPr>
                    <w:rFonts w:ascii="Segoe UI Symbol" w:hAnsi="Segoe UI Symbol" w:cs="Segoe UI Symbol"/>
                    <w:color w:val="auto"/>
                    <w:lang w:eastAsia="zh-TW"/>
                  </w:rPr>
                  <w:t>☐</w:t>
                </w:r>
              </w:sdtContent>
            </w:sdt>
            <w:r w:rsidR="005E5F3E" w:rsidRPr="006E5288">
              <w:rPr>
                <w:rFonts w:ascii="Times New Roman" w:hAnsi="Times New Roman" w:hint="eastAsia"/>
                <w:color w:val="auto"/>
                <w:lang w:eastAsia="zh-TW"/>
              </w:rPr>
              <w:t>部分參</w:t>
            </w:r>
            <w:proofErr w:type="gramStart"/>
            <w:r w:rsidR="005E5F3E" w:rsidRPr="006E5288">
              <w:rPr>
                <w:rFonts w:ascii="Times New Roman" w:hAnsi="Times New Roman" w:hint="eastAsia"/>
                <w:color w:val="auto"/>
                <w:lang w:eastAsia="zh-TW"/>
              </w:rPr>
              <w:t>採</w:t>
            </w:r>
            <w:proofErr w:type="gramEnd"/>
          </w:p>
          <w:p w14:paraId="5B305E76" w14:textId="77777777" w:rsidR="005E5F3E" w:rsidRPr="006E5288" w:rsidRDefault="00F845BD" w:rsidP="000F0277">
            <w:pPr>
              <w:pStyle w:val="LO-Normal"/>
              <w:kinsoku w:val="0"/>
              <w:overflowPunct w:val="0"/>
              <w:spacing w:line="340" w:lineRule="exact"/>
              <w:jc w:val="both"/>
              <w:rPr>
                <w:rFonts w:ascii="Times New Roman" w:hAnsi="Times New Roman"/>
                <w:color w:val="auto"/>
                <w:lang w:eastAsia="zh-TW"/>
              </w:rPr>
            </w:pPr>
            <w:sdt>
              <w:sdtPr>
                <w:rPr>
                  <w:rFonts w:ascii="Times New Roman" w:hAnsi="Times New Roman" w:hint="eastAsia"/>
                  <w:color w:val="auto"/>
                  <w:lang w:eastAsia="zh-TW"/>
                </w:rPr>
                <w:id w:val="-984309543"/>
                <w14:checkbox>
                  <w14:checked w14:val="1"/>
                  <w14:checkedState w14:val="0052" w14:font="Wingdings 2"/>
                  <w14:uncheckedState w14:val="2610" w14:font="MS Gothic"/>
                </w14:checkbox>
              </w:sdtPr>
              <w:sdtEndPr/>
              <w:sdtContent>
                <w:r w:rsidR="005E5F3E">
                  <w:rPr>
                    <w:rFonts w:ascii="Times New Roman" w:hAnsi="Times New Roman" w:hint="eastAsia"/>
                    <w:color w:val="auto"/>
                    <w:lang w:eastAsia="zh-TW"/>
                  </w:rPr>
                  <w:sym w:font="Wingdings 2" w:char="F052"/>
                </w:r>
              </w:sdtContent>
            </w:sdt>
            <w:proofErr w:type="gramStart"/>
            <w:r w:rsidR="005E5F3E" w:rsidRPr="006E5288">
              <w:rPr>
                <w:rFonts w:ascii="Times New Roman" w:hAnsi="Times New Roman" w:hint="eastAsia"/>
                <w:color w:val="auto"/>
                <w:lang w:eastAsia="zh-TW"/>
              </w:rPr>
              <w:t>研</w:t>
            </w:r>
            <w:proofErr w:type="gramEnd"/>
            <w:r w:rsidR="005E5F3E" w:rsidRPr="006E5288">
              <w:rPr>
                <w:rFonts w:ascii="Times New Roman" w:hAnsi="Times New Roman" w:hint="eastAsia"/>
                <w:color w:val="auto"/>
                <w:lang w:eastAsia="zh-TW"/>
              </w:rPr>
              <w:t>議中</w:t>
            </w:r>
          </w:p>
          <w:p w14:paraId="69A4ACC1" w14:textId="77777777" w:rsidR="005E5F3E" w:rsidRPr="00ED4851" w:rsidRDefault="00F845BD" w:rsidP="000F0277">
            <w:pPr>
              <w:kinsoku w:val="0"/>
              <w:overflowPunct w:val="0"/>
              <w:spacing w:line="340" w:lineRule="exact"/>
              <w:jc w:val="both"/>
              <w:rPr>
                <w:rFonts w:ascii="Times New Roman" w:eastAsia="標楷體" w:hAnsi="Times New Roman" w:cs="Arial"/>
                <w:color w:val="000000"/>
                <w:kern w:val="0"/>
                <w:sz w:val="26"/>
                <w:szCs w:val="20"/>
              </w:rPr>
            </w:pPr>
            <w:sdt>
              <w:sdtPr>
                <w:rPr>
                  <w:rFonts w:ascii="Times New Roman" w:eastAsia="標楷體" w:hAnsi="Times New Roman" w:hint="eastAsia"/>
                  <w:sz w:val="26"/>
                  <w:szCs w:val="26"/>
                </w:rPr>
                <w:id w:val="92667201"/>
                <w14:checkbox>
                  <w14:checked w14:val="0"/>
                  <w14:checkedState w14:val="0052" w14:font="Wingdings 2"/>
                  <w14:uncheckedState w14:val="2610" w14:font="MS Gothic"/>
                </w14:checkbox>
              </w:sdtPr>
              <w:sdtEndPr/>
              <w:sdtContent>
                <w:r w:rsidR="005E5F3E" w:rsidRPr="006E5288">
                  <w:rPr>
                    <w:rFonts w:ascii="Segoe UI Symbol" w:eastAsia="標楷體" w:hAnsi="Segoe UI Symbol" w:cs="Segoe UI Symbol"/>
                    <w:sz w:val="26"/>
                    <w:szCs w:val="26"/>
                  </w:rPr>
                  <w:t>☐</w:t>
                </w:r>
              </w:sdtContent>
            </w:sdt>
            <w:proofErr w:type="gramStart"/>
            <w:r w:rsidR="005E5F3E" w:rsidRPr="006E5288">
              <w:rPr>
                <w:rFonts w:ascii="Times New Roman" w:eastAsia="標楷體" w:hAnsi="Times New Roman" w:hint="eastAsia"/>
                <w:sz w:val="26"/>
                <w:szCs w:val="26"/>
              </w:rPr>
              <w:t>不</w:t>
            </w:r>
            <w:proofErr w:type="gramEnd"/>
            <w:r w:rsidR="005E5F3E" w:rsidRPr="006E5288">
              <w:rPr>
                <w:rFonts w:ascii="Times New Roman" w:eastAsia="標楷體" w:hAnsi="Times New Roman" w:hint="eastAsia"/>
                <w:sz w:val="26"/>
                <w:szCs w:val="26"/>
              </w:rPr>
              <w:t>參</w:t>
            </w:r>
            <w:proofErr w:type="gramStart"/>
            <w:r w:rsidR="005E5F3E" w:rsidRPr="006E5288">
              <w:rPr>
                <w:rFonts w:ascii="Times New Roman" w:eastAsia="標楷體" w:hAnsi="Times New Roman" w:hint="eastAsia"/>
                <w:sz w:val="26"/>
                <w:szCs w:val="26"/>
              </w:rPr>
              <w:t>採</w:t>
            </w:r>
            <w:proofErr w:type="gramEnd"/>
            <w:r w:rsidR="005E5F3E">
              <w:rPr>
                <w:rFonts w:ascii="Times New Roman" w:eastAsia="標楷體" w:hAnsi="Times New Roman"/>
                <w:color w:val="000000" w:themeColor="text1"/>
                <w:sz w:val="26"/>
                <w:szCs w:val="26"/>
              </w:rPr>
              <w:br/>
            </w:r>
            <w:r w:rsidR="005E5F3E">
              <w:rPr>
                <w:rFonts w:ascii="Times New Roman" w:eastAsia="標楷體" w:hAnsi="Times New Roman" w:hint="eastAsia"/>
                <w:color w:val="000000" w:themeColor="text1"/>
                <w:sz w:val="26"/>
                <w:szCs w:val="26"/>
              </w:rPr>
              <w:t>(</w:t>
            </w:r>
            <w:r w:rsidR="005E5F3E" w:rsidRPr="006E5288">
              <w:rPr>
                <w:rFonts w:ascii="Times New Roman" w:eastAsia="標楷體" w:hAnsi="Times New Roman" w:hint="eastAsia"/>
                <w:color w:val="000000" w:themeColor="text1"/>
                <w:sz w:val="26"/>
                <w:szCs w:val="26"/>
              </w:rPr>
              <w:t>主權基金籌設審慎評估中</w:t>
            </w:r>
            <w:r w:rsidR="005E5F3E">
              <w:rPr>
                <w:rFonts w:ascii="Times New Roman" w:eastAsia="標楷體" w:hAnsi="Times New Roman"/>
                <w:color w:val="000000" w:themeColor="text1"/>
                <w:sz w:val="26"/>
                <w:szCs w:val="26"/>
              </w:rPr>
              <w:t>)</w:t>
            </w:r>
          </w:p>
        </w:tc>
      </w:tr>
      <w:tr w:rsidR="005E5F3E" w:rsidRPr="00ED4851" w14:paraId="4B93281A" w14:textId="77777777" w:rsidTr="00C97469">
        <w:tc>
          <w:tcPr>
            <w:tcW w:w="1418" w:type="dxa"/>
            <w:vMerge/>
            <w:hideMark/>
          </w:tcPr>
          <w:p w14:paraId="0C0198D5"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3450E7F0"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三</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開放勞退自行</w:t>
            </w:r>
            <w:proofErr w:type="gramStart"/>
            <w:r w:rsidRPr="007D7972">
              <w:rPr>
                <w:rFonts w:ascii="Times New Roman" w:eastAsia="標楷體" w:hAnsi="Times New Roman" w:cs="Arial"/>
                <w:b/>
                <w:bCs/>
                <w:color w:val="000000"/>
                <w:kern w:val="0"/>
                <w:sz w:val="26"/>
                <w:szCs w:val="28"/>
              </w:rPr>
              <w:t>提撥</w:t>
            </w:r>
            <w:proofErr w:type="gramEnd"/>
            <w:r w:rsidRPr="007D7972">
              <w:rPr>
                <w:rFonts w:ascii="Times New Roman" w:eastAsia="標楷體" w:hAnsi="Times New Roman" w:cs="Arial"/>
                <w:b/>
                <w:bCs/>
                <w:color w:val="000000"/>
                <w:kern w:val="0"/>
                <w:sz w:val="26"/>
                <w:szCs w:val="28"/>
              </w:rPr>
              <w:t>部分，可以仿效外國勞退基金制度，投資主管機關核准之金融商品。</w:t>
            </w:r>
          </w:p>
        </w:tc>
        <w:tc>
          <w:tcPr>
            <w:tcW w:w="709" w:type="dxa"/>
            <w:hideMark/>
          </w:tcPr>
          <w:p w14:paraId="1EDEC3BF"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63083CE4" w14:textId="77777777" w:rsidR="005E5F3E" w:rsidRPr="00A46E50"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A46E50">
              <w:rPr>
                <w:rFonts w:ascii="Times New Roman" w:eastAsia="標楷體" w:hAnsi="Times New Roman" w:cs="Arial" w:hint="eastAsia"/>
                <w:b/>
                <w:bCs/>
                <w:color w:val="000000"/>
                <w:kern w:val="0"/>
                <w:sz w:val="26"/>
                <w:szCs w:val="28"/>
              </w:rPr>
              <w:t>勞動部</w:t>
            </w:r>
          </w:p>
          <w:p w14:paraId="4E14F41C" w14:textId="77777777" w:rsidR="005E5F3E" w:rsidRPr="00ED4851" w:rsidRDefault="005E5F3E" w:rsidP="00C97469">
            <w:pPr>
              <w:pStyle w:val="ab"/>
              <w:numPr>
                <w:ilvl w:val="0"/>
                <w:numId w:val="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14E5A4A0" w14:textId="77777777" w:rsidR="005E5F3E" w:rsidRPr="00ED4851" w:rsidRDefault="005E5F3E" w:rsidP="00C97469">
            <w:pPr>
              <w:pStyle w:val="ab"/>
              <w:numPr>
                <w:ilvl w:val="0"/>
                <w:numId w:val="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新制勞工退休基金採取長期穩健之操作策略，多元分散平衡布局，業將各項有價證券投資業務，委託國內、外專業機構負責投資管理，並積極開發新型態投資項目，如多元資產投資、另類投資或</w:t>
            </w:r>
            <w:r w:rsidRPr="00ED4851">
              <w:rPr>
                <w:rFonts w:ascii="Times New Roman" w:eastAsia="標楷體" w:hAnsi="Times New Roman" w:cs="Arial" w:hint="eastAsia"/>
                <w:color w:val="000000"/>
                <w:kern w:val="0"/>
                <w:sz w:val="26"/>
                <w:szCs w:val="26"/>
              </w:rPr>
              <w:t xml:space="preserve"> ESG</w:t>
            </w:r>
            <w:r w:rsidRPr="00ED4851">
              <w:rPr>
                <w:rFonts w:ascii="Times New Roman" w:eastAsia="標楷體" w:hAnsi="Times New Roman" w:cs="Arial" w:hint="eastAsia"/>
                <w:color w:val="000000"/>
                <w:kern w:val="0"/>
                <w:sz w:val="26"/>
                <w:szCs w:val="26"/>
              </w:rPr>
              <w:t>（環境、社會、治理）等範疇，兼顧國內金融產業發展及投資環境。自</w:t>
            </w:r>
            <w:r w:rsidRPr="00ED4851">
              <w:rPr>
                <w:rFonts w:ascii="Times New Roman" w:eastAsia="標楷體" w:hAnsi="Times New Roman" w:cs="Arial" w:hint="eastAsia"/>
                <w:color w:val="000000"/>
                <w:kern w:val="0"/>
                <w:sz w:val="26"/>
                <w:szCs w:val="26"/>
              </w:rPr>
              <w:t>2005</w:t>
            </w:r>
            <w:r w:rsidRPr="00ED4851">
              <w:rPr>
                <w:rFonts w:ascii="Times New Roman" w:eastAsia="標楷體" w:hAnsi="Times New Roman" w:cs="Arial" w:hint="eastAsia"/>
                <w:color w:val="000000"/>
                <w:kern w:val="0"/>
                <w:sz w:val="26"/>
                <w:szCs w:val="26"/>
              </w:rPr>
              <w:t>年</w:t>
            </w:r>
            <w:r w:rsidRPr="00ED4851">
              <w:rPr>
                <w:rFonts w:ascii="Times New Roman" w:eastAsia="標楷體" w:hAnsi="Times New Roman" w:cs="Arial" w:hint="eastAsia"/>
                <w:color w:val="000000"/>
                <w:kern w:val="0"/>
                <w:sz w:val="26"/>
                <w:szCs w:val="26"/>
              </w:rPr>
              <w:t>7</w:t>
            </w:r>
            <w:r w:rsidRPr="00ED4851">
              <w:rPr>
                <w:rFonts w:ascii="Times New Roman" w:eastAsia="標楷體" w:hAnsi="Times New Roman" w:cs="Arial" w:hint="eastAsia"/>
                <w:color w:val="000000"/>
                <w:kern w:val="0"/>
                <w:sz w:val="26"/>
                <w:szCs w:val="26"/>
              </w:rPr>
              <w:t>月成立迄今</w:t>
            </w:r>
            <w:r w:rsidRPr="00ED4851">
              <w:rPr>
                <w:rFonts w:ascii="Times New Roman" w:eastAsia="標楷體" w:hAnsi="Times New Roman" w:cs="Arial" w:hint="eastAsia"/>
                <w:color w:val="000000"/>
                <w:kern w:val="0"/>
                <w:sz w:val="26"/>
                <w:szCs w:val="26"/>
              </w:rPr>
              <w:t>2025</w:t>
            </w:r>
            <w:r w:rsidRPr="00ED4851">
              <w:rPr>
                <w:rFonts w:ascii="Times New Roman" w:eastAsia="標楷體" w:hAnsi="Times New Roman" w:cs="Arial" w:hint="eastAsia"/>
                <w:color w:val="000000"/>
                <w:kern w:val="0"/>
                <w:sz w:val="26"/>
                <w:szCs w:val="26"/>
              </w:rPr>
              <w:t>年</w:t>
            </w:r>
            <w:r w:rsidRPr="00ED4851">
              <w:rPr>
                <w:rFonts w:ascii="Times New Roman" w:eastAsia="標楷體" w:hAnsi="Times New Roman" w:cs="Arial" w:hint="eastAsia"/>
                <w:color w:val="000000"/>
                <w:kern w:val="0"/>
                <w:sz w:val="26"/>
                <w:szCs w:val="26"/>
              </w:rPr>
              <w:t>7</w:t>
            </w:r>
            <w:r w:rsidRPr="00ED4851">
              <w:rPr>
                <w:rFonts w:ascii="Times New Roman" w:eastAsia="標楷體" w:hAnsi="Times New Roman" w:cs="Arial" w:hint="eastAsia"/>
                <w:color w:val="000000"/>
                <w:kern w:val="0"/>
                <w:sz w:val="26"/>
                <w:szCs w:val="26"/>
              </w:rPr>
              <w:t>月，年化收益率</w:t>
            </w:r>
            <w:r w:rsidRPr="00ED4851">
              <w:rPr>
                <w:rFonts w:ascii="Times New Roman" w:eastAsia="標楷體" w:hAnsi="Times New Roman" w:cs="Arial" w:hint="eastAsia"/>
                <w:color w:val="000000"/>
                <w:kern w:val="0"/>
                <w:sz w:val="26"/>
                <w:szCs w:val="26"/>
              </w:rPr>
              <w:t>5.99%</w:t>
            </w:r>
            <w:r w:rsidRPr="00ED4851">
              <w:rPr>
                <w:rFonts w:ascii="Times New Roman" w:eastAsia="標楷體" w:hAnsi="Times New Roman" w:cs="Arial" w:hint="eastAsia"/>
                <w:color w:val="000000"/>
                <w:kern w:val="0"/>
                <w:sz w:val="26"/>
                <w:szCs w:val="26"/>
              </w:rPr>
              <w:t>，又近</w:t>
            </w:r>
            <w:r w:rsidRPr="00ED4851">
              <w:rPr>
                <w:rFonts w:ascii="Times New Roman" w:eastAsia="標楷體" w:hAnsi="Times New Roman" w:cs="Arial" w:hint="eastAsia"/>
                <w:color w:val="000000"/>
                <w:kern w:val="0"/>
                <w:sz w:val="26"/>
                <w:szCs w:val="26"/>
              </w:rPr>
              <w:t>10</w:t>
            </w:r>
            <w:r w:rsidRPr="00ED4851">
              <w:rPr>
                <w:rFonts w:ascii="Times New Roman" w:eastAsia="標楷體" w:hAnsi="Times New Roman" w:cs="Arial" w:hint="eastAsia"/>
                <w:color w:val="000000"/>
                <w:kern w:val="0"/>
                <w:sz w:val="26"/>
                <w:szCs w:val="26"/>
              </w:rPr>
              <w:t>年多（</w:t>
            </w:r>
            <w:r w:rsidRPr="00ED4851">
              <w:rPr>
                <w:rFonts w:ascii="Times New Roman" w:eastAsia="標楷體" w:hAnsi="Times New Roman" w:cs="Arial" w:hint="eastAsia"/>
                <w:color w:val="000000"/>
                <w:kern w:val="0"/>
                <w:sz w:val="26"/>
                <w:szCs w:val="26"/>
              </w:rPr>
              <w:t>2015</w:t>
            </w:r>
            <w:r w:rsidRPr="00ED4851">
              <w:rPr>
                <w:rFonts w:ascii="Times New Roman" w:eastAsia="標楷體" w:hAnsi="Times New Roman" w:cs="Arial" w:hint="eastAsia"/>
                <w:color w:val="000000"/>
                <w:kern w:val="0"/>
                <w:sz w:val="26"/>
                <w:szCs w:val="26"/>
              </w:rPr>
              <w:t>年</w:t>
            </w:r>
            <w:r>
              <w:rPr>
                <w:rFonts w:ascii="Times New Roman" w:eastAsia="標楷體" w:hAnsi="Times New Roman" w:cs="Arial" w:hint="eastAsia"/>
                <w:color w:val="000000"/>
                <w:kern w:val="0"/>
                <w:sz w:val="26"/>
                <w:szCs w:val="26"/>
              </w:rPr>
              <w:t>至</w:t>
            </w:r>
            <w:r w:rsidRPr="00ED4851">
              <w:rPr>
                <w:rFonts w:ascii="Times New Roman" w:eastAsia="標楷體" w:hAnsi="Times New Roman" w:cs="Arial" w:hint="eastAsia"/>
                <w:color w:val="000000"/>
                <w:kern w:val="0"/>
                <w:sz w:val="26"/>
                <w:szCs w:val="26"/>
              </w:rPr>
              <w:t>2025</w:t>
            </w:r>
            <w:r w:rsidRPr="00ED4851">
              <w:rPr>
                <w:rFonts w:ascii="Times New Roman" w:eastAsia="標楷體" w:hAnsi="Times New Roman" w:cs="Arial" w:hint="eastAsia"/>
                <w:color w:val="000000"/>
                <w:kern w:val="0"/>
                <w:sz w:val="26"/>
                <w:szCs w:val="26"/>
              </w:rPr>
              <w:t>年</w:t>
            </w:r>
            <w:r w:rsidRPr="00ED4851">
              <w:rPr>
                <w:rFonts w:ascii="Times New Roman" w:eastAsia="標楷體" w:hAnsi="Times New Roman" w:cs="Arial" w:hint="eastAsia"/>
                <w:color w:val="000000"/>
                <w:kern w:val="0"/>
                <w:sz w:val="26"/>
                <w:szCs w:val="26"/>
              </w:rPr>
              <w:t>7</w:t>
            </w:r>
            <w:r w:rsidRPr="00ED4851">
              <w:rPr>
                <w:rFonts w:ascii="Times New Roman" w:eastAsia="標楷體" w:hAnsi="Times New Roman" w:cs="Arial" w:hint="eastAsia"/>
                <w:color w:val="000000"/>
                <w:kern w:val="0"/>
                <w:sz w:val="26"/>
                <w:szCs w:val="26"/>
              </w:rPr>
              <w:t>月）之年化收益率為</w:t>
            </w:r>
            <w:r w:rsidRPr="00ED4851">
              <w:rPr>
                <w:rFonts w:ascii="Times New Roman" w:eastAsia="標楷體" w:hAnsi="Times New Roman" w:cs="Arial" w:hint="eastAsia"/>
                <w:color w:val="000000"/>
                <w:kern w:val="0"/>
                <w:sz w:val="26"/>
                <w:szCs w:val="26"/>
              </w:rPr>
              <w:t>6.42</w:t>
            </w:r>
            <w:r w:rsidRPr="00ED4851">
              <w:rPr>
                <w:rFonts w:ascii="Times New Roman" w:eastAsia="標楷體" w:hAnsi="Times New Roman" w:cs="Arial" w:hint="eastAsia"/>
                <w:color w:val="000000"/>
                <w:kern w:val="0"/>
                <w:sz w:val="26"/>
                <w:szCs w:val="26"/>
              </w:rPr>
              <w:t>％，為全體勞工提供簡便、績效穩健之投資管道及維持適當所得替代率。至不同資金需求之個別勞工，仍可從金融市場自行尋找合乎風險屬性之投資商品，並兼顧資金運用之自由度，另金融監督管理委員會亦已開辦「臺灣個人投資儲蓄帳戶」（</w:t>
            </w:r>
            <w:r w:rsidRPr="00ED4851">
              <w:rPr>
                <w:rFonts w:ascii="Times New Roman" w:eastAsia="標楷體" w:hAnsi="Times New Roman" w:cs="Arial" w:hint="eastAsia"/>
                <w:color w:val="000000"/>
                <w:kern w:val="0"/>
                <w:sz w:val="26"/>
                <w:szCs w:val="26"/>
              </w:rPr>
              <w:t>TISA</w:t>
            </w:r>
            <w:r w:rsidRPr="00ED4851">
              <w:rPr>
                <w:rFonts w:ascii="Times New Roman" w:eastAsia="標楷體" w:hAnsi="Times New Roman" w:cs="Arial" w:hint="eastAsia"/>
                <w:color w:val="000000"/>
                <w:kern w:val="0"/>
                <w:sz w:val="26"/>
                <w:szCs w:val="26"/>
              </w:rPr>
              <w:t>），勞工亦可透過該管道投資合適之金融商品。</w:t>
            </w:r>
          </w:p>
          <w:p w14:paraId="48E9486B" w14:textId="77777777" w:rsidR="005E5F3E" w:rsidRPr="00ED4851" w:rsidRDefault="005E5F3E" w:rsidP="00C97469">
            <w:pPr>
              <w:pStyle w:val="ab"/>
              <w:numPr>
                <w:ilvl w:val="0"/>
                <w:numId w:val="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勞工退休金之目的，係為保障勞工老年退休生活，退休金投資運用應著重</w:t>
            </w:r>
            <w:r w:rsidRPr="00ED4851">
              <w:rPr>
                <w:rFonts w:ascii="Times New Roman" w:eastAsia="標楷體" w:hAnsi="Times New Roman" w:cs="Arial" w:hint="eastAsia"/>
                <w:color w:val="000000"/>
                <w:kern w:val="0"/>
                <w:sz w:val="26"/>
                <w:szCs w:val="26"/>
              </w:rPr>
              <w:lastRenderedPageBreak/>
              <w:t>安全及穩健。是否開辦勞工自行</w:t>
            </w:r>
            <w:proofErr w:type="gramStart"/>
            <w:r w:rsidRPr="00ED4851">
              <w:rPr>
                <w:rFonts w:ascii="Times New Roman" w:eastAsia="標楷體" w:hAnsi="Times New Roman" w:cs="Arial" w:hint="eastAsia"/>
                <w:color w:val="000000"/>
                <w:kern w:val="0"/>
                <w:sz w:val="26"/>
                <w:szCs w:val="26"/>
              </w:rPr>
              <w:t>提撥</w:t>
            </w:r>
            <w:proofErr w:type="gramEnd"/>
            <w:r w:rsidRPr="00ED4851">
              <w:rPr>
                <w:rFonts w:ascii="Times New Roman" w:eastAsia="標楷體" w:hAnsi="Times New Roman" w:cs="Arial" w:hint="eastAsia"/>
                <w:color w:val="000000"/>
                <w:kern w:val="0"/>
                <w:sz w:val="26"/>
                <w:szCs w:val="26"/>
              </w:rPr>
              <w:t>部分，投資主管機關核准之金融商品，</w:t>
            </w:r>
            <w:proofErr w:type="gramStart"/>
            <w:r w:rsidRPr="00ED4851">
              <w:rPr>
                <w:rFonts w:ascii="Times New Roman" w:eastAsia="標楷體" w:hAnsi="Times New Roman" w:cs="Arial" w:hint="eastAsia"/>
                <w:color w:val="000000"/>
                <w:kern w:val="0"/>
                <w:sz w:val="26"/>
                <w:szCs w:val="26"/>
              </w:rPr>
              <w:t>勞動部仍持續</w:t>
            </w:r>
            <w:proofErr w:type="gramEnd"/>
            <w:r w:rsidRPr="00ED4851">
              <w:rPr>
                <w:rFonts w:ascii="Times New Roman" w:eastAsia="標楷體" w:hAnsi="Times New Roman" w:cs="Arial" w:hint="eastAsia"/>
                <w:color w:val="000000"/>
                <w:kern w:val="0"/>
                <w:sz w:val="26"/>
                <w:szCs w:val="26"/>
              </w:rPr>
              <w:t>蒐集各界相關意見，在不影響勞工權益前提下，尋求共識、審慎</w:t>
            </w:r>
            <w:proofErr w:type="gramStart"/>
            <w:r w:rsidRPr="00ED4851">
              <w:rPr>
                <w:rFonts w:ascii="Times New Roman" w:eastAsia="標楷體" w:hAnsi="Times New Roman" w:cs="Arial" w:hint="eastAsia"/>
                <w:color w:val="000000"/>
                <w:kern w:val="0"/>
                <w:sz w:val="26"/>
                <w:szCs w:val="26"/>
              </w:rPr>
              <w:t>研</w:t>
            </w:r>
            <w:proofErr w:type="gramEnd"/>
            <w:r w:rsidRPr="00ED4851">
              <w:rPr>
                <w:rFonts w:ascii="Times New Roman" w:eastAsia="標楷體" w:hAnsi="Times New Roman" w:cs="Arial" w:hint="eastAsia"/>
                <w:color w:val="000000"/>
                <w:kern w:val="0"/>
                <w:sz w:val="26"/>
                <w:szCs w:val="26"/>
              </w:rPr>
              <w:t>議。</w:t>
            </w:r>
          </w:p>
          <w:p w14:paraId="388C16D9" w14:textId="77777777" w:rsidR="005E5F3E" w:rsidRPr="00ED4851" w:rsidRDefault="005E5F3E" w:rsidP="00C97469">
            <w:pPr>
              <w:pStyle w:val="ab"/>
              <w:numPr>
                <w:ilvl w:val="0"/>
                <w:numId w:val="2"/>
              </w:numPr>
              <w:kinsoku w:val="0"/>
              <w:overflowPunct w:val="0"/>
              <w:spacing w:line="340" w:lineRule="exact"/>
              <w:ind w:right="240"/>
              <w:contextualSpacing w:val="0"/>
              <w:rPr>
                <w:rFonts w:ascii="Times New Roman" w:eastAsia="標楷體" w:hAnsi="Times New Roman" w:cs="Arial"/>
                <w:color w:val="000000"/>
                <w:kern w:val="0"/>
                <w:sz w:val="26"/>
                <w:szCs w:val="28"/>
              </w:rPr>
            </w:pPr>
            <w:r w:rsidRPr="00ED4851">
              <w:rPr>
                <w:rFonts w:ascii="Times New Roman" w:eastAsia="標楷體" w:hAnsi="Times New Roman" w:cs="Arial" w:hint="eastAsia"/>
                <w:color w:val="000000"/>
                <w:kern w:val="0"/>
                <w:sz w:val="26"/>
                <w:szCs w:val="26"/>
              </w:rPr>
              <w:t>涉及法規：勞工退休金條例</w:t>
            </w:r>
          </w:p>
        </w:tc>
        <w:tc>
          <w:tcPr>
            <w:tcW w:w="1417" w:type="dxa"/>
            <w:noWrap/>
          </w:tcPr>
          <w:p w14:paraId="715564D6"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7740547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740A560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1587842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4B94621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22264256"/>
                <w14:checkbox>
                  <w14:checked w14:val="1"/>
                  <w14:checkedState w14:val="0052" w14:font="Wingdings 2"/>
                  <w14:uncheckedState w14:val="2610" w14:font="MS Gothic"/>
                </w14:checkbox>
              </w:sdtPr>
              <w:sdtEndPr/>
              <w:sdtContent>
                <w:r w:rsidR="005E5F3E" w:rsidRPr="00ED4851">
                  <w:rPr>
                    <w:rFonts w:ascii="Times New Roman" w:hAnsi="Times New Roman" w:hint="eastAsia"/>
                    <w:color w:val="000000" w:themeColor="text1"/>
                    <w:lang w:eastAsia="zh-TW"/>
                  </w:rPr>
                  <w:sym w:font="Wingdings 2" w:char="F052"/>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16837102"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34934520"/>
                <w14:checkbox>
                  <w14:checked w14:val="0"/>
                  <w14:checkedState w14:val="0052" w14:font="Wingdings 2"/>
                  <w14:uncheckedState w14:val="2610" w14:font="MS Gothic"/>
                </w14:checkbox>
              </w:sdtPr>
              <w:sdtEndPr/>
              <w:sdtContent>
                <w:r w:rsidR="005E5F3E" w:rsidRPr="00ED4851">
                  <w:rPr>
                    <w:rFonts w:ascii="Segoe UI Symbol" w:eastAsia="標楷體" w:hAnsi="Segoe UI Symbol" w:cs="Segoe UI Symbol"/>
                    <w:color w:val="000000" w:themeColor="text1"/>
                    <w:sz w:val="26"/>
                    <w:szCs w:val="26"/>
                  </w:rPr>
                  <w:t>☐</w:t>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45F2AE6C" w14:textId="77777777" w:rsidTr="00C97469">
        <w:tc>
          <w:tcPr>
            <w:tcW w:w="1418" w:type="dxa"/>
            <w:vMerge w:val="restart"/>
            <w:shd w:val="clear" w:color="FFFFFF" w:fill="FFFFFF"/>
            <w:hideMark/>
          </w:tcPr>
          <w:p w14:paraId="67764722" w14:textId="77777777" w:rsidR="005E5F3E" w:rsidRPr="00ED4851"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四、放寬產業控股公司、</w:t>
            </w:r>
            <w:r w:rsidRPr="00ED4851">
              <w:rPr>
                <w:rFonts w:ascii="Times New Roman" w:eastAsia="標楷體" w:hAnsi="Times New Roman" w:cs="Arial" w:hint="eastAsia"/>
                <w:b/>
                <w:bCs/>
                <w:color w:val="000000"/>
                <w:kern w:val="0"/>
                <w:sz w:val="26"/>
                <w:szCs w:val="28"/>
              </w:rPr>
              <w:t>CFC</w:t>
            </w:r>
            <w:r w:rsidRPr="00ED4851">
              <w:rPr>
                <w:rFonts w:ascii="Times New Roman" w:eastAsia="標楷體" w:hAnsi="Times New Roman" w:cs="Arial" w:hint="eastAsia"/>
                <w:b/>
                <w:bCs/>
                <w:color w:val="000000"/>
                <w:kern w:val="0"/>
                <w:sz w:val="26"/>
                <w:szCs w:val="28"/>
              </w:rPr>
              <w:t>受控外國公司稅制、境外子公司之豁免，</w:t>
            </w:r>
            <w:proofErr w:type="gramStart"/>
            <w:r w:rsidRPr="00ED4851">
              <w:rPr>
                <w:rFonts w:ascii="Times New Roman" w:eastAsia="標楷體" w:hAnsi="Times New Roman" w:cs="Arial" w:hint="eastAsia"/>
                <w:b/>
                <w:bCs/>
                <w:color w:val="000000"/>
                <w:kern w:val="0"/>
                <w:sz w:val="26"/>
                <w:szCs w:val="28"/>
              </w:rPr>
              <w:t>俾</w:t>
            </w:r>
            <w:proofErr w:type="gramEnd"/>
            <w:r w:rsidRPr="00ED4851">
              <w:rPr>
                <w:rFonts w:ascii="Times New Roman" w:eastAsia="標楷體" w:hAnsi="Times New Roman" w:cs="Arial" w:hint="eastAsia"/>
                <w:b/>
                <w:bCs/>
                <w:color w:val="000000"/>
                <w:kern w:val="0"/>
                <w:sz w:val="26"/>
                <w:szCs w:val="28"/>
              </w:rPr>
              <w:t>利企業全球布局</w:t>
            </w:r>
          </w:p>
        </w:tc>
        <w:tc>
          <w:tcPr>
            <w:tcW w:w="3402" w:type="dxa"/>
            <w:hideMark/>
          </w:tcPr>
          <w:p w14:paraId="3F93CD73"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proofErr w:type="gramStart"/>
            <w:r w:rsidRPr="007D7972">
              <w:rPr>
                <w:rFonts w:ascii="Times New Roman" w:eastAsia="標楷體" w:hAnsi="Times New Roman" w:cs="Arial"/>
                <w:b/>
                <w:bCs/>
                <w:color w:val="000000"/>
                <w:kern w:val="0"/>
                <w:sz w:val="26"/>
                <w:szCs w:val="28"/>
              </w:rPr>
              <w:t>一</w:t>
            </w:r>
            <w:proofErr w:type="gramEnd"/>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建議</w:t>
            </w:r>
            <w:proofErr w:type="gramStart"/>
            <w:r w:rsidRPr="007D7972">
              <w:rPr>
                <w:rFonts w:ascii="Times New Roman" w:eastAsia="標楷體" w:hAnsi="Times New Roman" w:cs="Arial"/>
                <w:b/>
                <w:bCs/>
                <w:color w:val="000000"/>
                <w:kern w:val="0"/>
                <w:sz w:val="26"/>
                <w:szCs w:val="28"/>
              </w:rPr>
              <w:t>放寬產控公司</w:t>
            </w:r>
            <w:proofErr w:type="gramEnd"/>
            <w:r w:rsidRPr="007D7972">
              <w:rPr>
                <w:rFonts w:ascii="Times New Roman" w:eastAsia="標楷體" w:hAnsi="Times New Roman" w:cs="Arial"/>
                <w:b/>
                <w:bCs/>
                <w:color w:val="000000"/>
                <w:kern w:val="0"/>
                <w:sz w:val="26"/>
                <w:szCs w:val="28"/>
              </w:rPr>
              <w:t>之被投資公司之認定基準，</w:t>
            </w:r>
            <w:proofErr w:type="gramStart"/>
            <w:r w:rsidRPr="007D7972">
              <w:rPr>
                <w:rFonts w:ascii="Times New Roman" w:eastAsia="標楷體" w:hAnsi="Times New Roman" w:cs="Arial"/>
                <w:b/>
                <w:bCs/>
                <w:color w:val="000000"/>
                <w:kern w:val="0"/>
                <w:sz w:val="26"/>
                <w:szCs w:val="28"/>
              </w:rPr>
              <w:t>採</w:t>
            </w:r>
            <w:proofErr w:type="gramEnd"/>
            <w:r w:rsidRPr="007D7972">
              <w:rPr>
                <w:rFonts w:ascii="Times New Roman" w:eastAsia="標楷體" w:hAnsi="Times New Roman" w:cs="Arial"/>
                <w:b/>
                <w:bCs/>
                <w:color w:val="000000"/>
                <w:kern w:val="0"/>
                <w:sz w:val="26"/>
                <w:szCs w:val="28"/>
              </w:rPr>
              <w:t>依照財務會計認定之權益法評價被投資公司。</w:t>
            </w:r>
          </w:p>
        </w:tc>
        <w:tc>
          <w:tcPr>
            <w:tcW w:w="709" w:type="dxa"/>
            <w:hideMark/>
          </w:tcPr>
          <w:p w14:paraId="243D9669"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69C0079E" w14:textId="77777777" w:rsidR="005E5F3E" w:rsidRPr="00E60043"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E60043">
              <w:rPr>
                <w:rFonts w:ascii="Times New Roman" w:eastAsia="標楷體" w:hAnsi="Times New Roman" w:cs="Arial" w:hint="eastAsia"/>
                <w:b/>
                <w:bCs/>
                <w:color w:val="000000"/>
                <w:kern w:val="0"/>
                <w:sz w:val="26"/>
                <w:szCs w:val="28"/>
              </w:rPr>
              <w:t>財政部</w:t>
            </w:r>
          </w:p>
          <w:p w14:paraId="06F13190" w14:textId="77777777" w:rsidR="005E5F3E" w:rsidRDefault="005E5F3E" w:rsidP="00C97469">
            <w:pPr>
              <w:pStyle w:val="ab"/>
              <w:numPr>
                <w:ilvl w:val="0"/>
                <w:numId w:val="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6E0709C5" w14:textId="77777777" w:rsidR="005E5F3E" w:rsidRDefault="005E5F3E" w:rsidP="00C97469">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60043">
              <w:rPr>
                <w:rFonts w:ascii="Times New Roman" w:eastAsia="標楷體" w:hAnsi="Times New Roman" w:cs="Arial" w:hint="eastAsia"/>
                <w:color w:val="000000"/>
                <w:kern w:val="0"/>
                <w:sz w:val="26"/>
                <w:szCs w:val="26"/>
              </w:rPr>
              <w:t>核釋產業控股公司</w:t>
            </w:r>
            <w:r w:rsidRPr="00ED4851">
              <w:rPr>
                <w:rFonts w:ascii="Times New Roman" w:eastAsia="標楷體" w:hAnsi="Times New Roman" w:cs="Arial" w:hint="eastAsia"/>
                <w:color w:val="000000"/>
                <w:kern w:val="0"/>
                <w:sz w:val="26"/>
                <w:szCs w:val="26"/>
              </w:rPr>
              <w:t>（</w:t>
            </w:r>
            <w:r w:rsidRPr="00E60043">
              <w:rPr>
                <w:rFonts w:ascii="Times New Roman" w:eastAsia="標楷體" w:hAnsi="Times New Roman" w:cs="Arial" w:hint="eastAsia"/>
                <w:color w:val="000000"/>
                <w:kern w:val="0"/>
                <w:sz w:val="26"/>
                <w:szCs w:val="26"/>
              </w:rPr>
              <w:t>下稱產控公司</w:t>
            </w:r>
            <w:r w:rsidRPr="00ED4851">
              <w:rPr>
                <w:rFonts w:ascii="Times New Roman" w:eastAsia="標楷體" w:hAnsi="Times New Roman" w:cs="Arial" w:hint="eastAsia"/>
                <w:color w:val="000000"/>
                <w:kern w:val="0"/>
                <w:sz w:val="26"/>
                <w:szCs w:val="26"/>
              </w:rPr>
              <w:t>）</w:t>
            </w:r>
            <w:r w:rsidRPr="00E60043">
              <w:rPr>
                <w:rFonts w:ascii="Times New Roman" w:eastAsia="標楷體" w:hAnsi="Times New Roman" w:cs="Arial" w:hint="eastAsia"/>
                <w:color w:val="000000"/>
                <w:kern w:val="0"/>
                <w:sz w:val="26"/>
                <w:szCs w:val="26"/>
              </w:rPr>
              <w:t>應稅與免稅收入成本費用分攤原則，建立合理明確課稅規定，鼓勵</w:t>
            </w:r>
            <w:proofErr w:type="gramStart"/>
            <w:r w:rsidRPr="00E60043">
              <w:rPr>
                <w:rFonts w:ascii="Times New Roman" w:eastAsia="標楷體" w:hAnsi="Times New Roman" w:cs="Arial" w:hint="eastAsia"/>
                <w:color w:val="000000"/>
                <w:kern w:val="0"/>
                <w:sz w:val="26"/>
                <w:szCs w:val="26"/>
              </w:rPr>
              <w:t>成立產控公司</w:t>
            </w:r>
            <w:proofErr w:type="gramEnd"/>
          </w:p>
          <w:p w14:paraId="1F0ECE11" w14:textId="77777777" w:rsidR="005E5F3E" w:rsidRPr="00CE7987"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CE7987">
              <w:rPr>
                <w:rFonts w:ascii="Times New Roman" w:eastAsia="標楷體" w:hAnsi="Times New Roman" w:cs="Arial" w:hint="eastAsia"/>
                <w:color w:val="000000"/>
                <w:kern w:val="0"/>
                <w:sz w:val="26"/>
                <w:szCs w:val="26"/>
              </w:rPr>
              <w:t>財政部</w:t>
            </w:r>
            <w:r w:rsidRPr="00CE7987">
              <w:rPr>
                <w:rFonts w:ascii="Times New Roman" w:eastAsia="標楷體" w:hAnsi="Times New Roman" w:cs="Arial" w:hint="eastAsia"/>
                <w:color w:val="000000"/>
                <w:kern w:val="0"/>
                <w:sz w:val="26"/>
                <w:szCs w:val="26"/>
              </w:rPr>
              <w:t>2024</w:t>
            </w:r>
            <w:r w:rsidRPr="00CE7987">
              <w:rPr>
                <w:rFonts w:ascii="Times New Roman" w:eastAsia="標楷體" w:hAnsi="Times New Roman" w:cs="Arial" w:hint="eastAsia"/>
                <w:color w:val="000000"/>
                <w:kern w:val="0"/>
                <w:sz w:val="26"/>
                <w:szCs w:val="26"/>
              </w:rPr>
              <w:t>年</w:t>
            </w:r>
            <w:r w:rsidRPr="00CE7987">
              <w:rPr>
                <w:rFonts w:ascii="Times New Roman" w:eastAsia="標楷體" w:hAnsi="Times New Roman" w:cs="Arial" w:hint="eastAsia"/>
                <w:color w:val="000000"/>
                <w:kern w:val="0"/>
                <w:sz w:val="26"/>
                <w:szCs w:val="26"/>
              </w:rPr>
              <w:t>4</w:t>
            </w:r>
            <w:r w:rsidRPr="00CE7987">
              <w:rPr>
                <w:rFonts w:ascii="Times New Roman" w:eastAsia="標楷體" w:hAnsi="Times New Roman" w:cs="Arial" w:hint="eastAsia"/>
                <w:color w:val="000000"/>
                <w:kern w:val="0"/>
                <w:sz w:val="26"/>
                <w:szCs w:val="26"/>
              </w:rPr>
              <w:t>月</w:t>
            </w:r>
            <w:r w:rsidRPr="00CE7987">
              <w:rPr>
                <w:rFonts w:ascii="Times New Roman" w:eastAsia="標楷體" w:hAnsi="Times New Roman" w:cs="Arial" w:hint="eastAsia"/>
                <w:color w:val="000000"/>
                <w:kern w:val="0"/>
                <w:sz w:val="26"/>
                <w:szCs w:val="26"/>
              </w:rPr>
              <w:t>18</w:t>
            </w:r>
            <w:r w:rsidRPr="00CE7987">
              <w:rPr>
                <w:rFonts w:ascii="Times New Roman" w:eastAsia="標楷體" w:hAnsi="Times New Roman" w:cs="Arial" w:hint="eastAsia"/>
                <w:color w:val="000000"/>
                <w:kern w:val="0"/>
                <w:sz w:val="26"/>
                <w:szCs w:val="26"/>
              </w:rPr>
              <w:t>日核釋上市或上櫃投資控股公司〔下稱上市（櫃）投控公司〕以投資為專業並以控制其他公司營運為目的，除投資被控股公司外，亦提供被控股公司有關財務會計、法律、人事等管理或諮詢服務，與一般投資公司不同，</w:t>
            </w:r>
            <w:proofErr w:type="gramStart"/>
            <w:r w:rsidRPr="00CE7987">
              <w:rPr>
                <w:rFonts w:ascii="Times New Roman" w:eastAsia="標楷體" w:hAnsi="Times New Roman" w:cs="Arial" w:hint="eastAsia"/>
                <w:color w:val="000000"/>
                <w:kern w:val="0"/>
                <w:sz w:val="26"/>
                <w:szCs w:val="26"/>
              </w:rPr>
              <w:t>認屬非</w:t>
            </w:r>
            <w:proofErr w:type="gramEnd"/>
            <w:r w:rsidRPr="00CE7987">
              <w:rPr>
                <w:rFonts w:ascii="Times New Roman" w:eastAsia="標楷體" w:hAnsi="Times New Roman" w:cs="Arial" w:hint="eastAsia"/>
                <w:color w:val="000000"/>
                <w:kern w:val="0"/>
                <w:sz w:val="26"/>
                <w:szCs w:val="26"/>
              </w:rPr>
              <w:t>以有價證券買賣為業，除直接明確歸屬免稅收入之成本、費用及損失不得自應稅收</w:t>
            </w:r>
            <w:proofErr w:type="gramStart"/>
            <w:r w:rsidRPr="00CE7987">
              <w:rPr>
                <w:rFonts w:ascii="Times New Roman" w:eastAsia="標楷體" w:hAnsi="Times New Roman" w:cs="Arial" w:hint="eastAsia"/>
                <w:color w:val="000000"/>
                <w:kern w:val="0"/>
                <w:sz w:val="26"/>
                <w:szCs w:val="26"/>
              </w:rPr>
              <w:t>入項下減</w:t>
            </w:r>
            <w:proofErr w:type="gramEnd"/>
            <w:r w:rsidRPr="00CE7987">
              <w:rPr>
                <w:rFonts w:ascii="Times New Roman" w:eastAsia="標楷體" w:hAnsi="Times New Roman" w:cs="Arial" w:hint="eastAsia"/>
                <w:color w:val="000000"/>
                <w:kern w:val="0"/>
                <w:sz w:val="26"/>
                <w:szCs w:val="26"/>
              </w:rPr>
              <w:t>除外，其餘成本、費用及損失得予減除，並明定其收入、成本、費用及損失之歸屬認定原則，建立合理明確課稅規定，減少課稅爭議及稅負，有助產控公司扮演產業集團總部角色進行創新發展。</w:t>
            </w:r>
          </w:p>
          <w:p w14:paraId="160433A0" w14:textId="77777777" w:rsidR="005E5F3E" w:rsidRPr="00E60043" w:rsidRDefault="005E5F3E" w:rsidP="00C97469">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60043">
              <w:rPr>
                <w:rFonts w:ascii="Times New Roman" w:eastAsia="標楷體" w:hAnsi="Times New Roman" w:cs="Arial" w:hint="eastAsia"/>
                <w:color w:val="000000"/>
                <w:kern w:val="0"/>
                <w:sz w:val="26"/>
                <w:szCs w:val="26"/>
              </w:rPr>
              <w:t>已建立客觀一致認定標準</w:t>
            </w:r>
          </w:p>
          <w:p w14:paraId="3A3D459C" w14:textId="77777777" w:rsidR="005E5F3E" w:rsidRPr="00E60043"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E60043">
              <w:rPr>
                <w:rFonts w:ascii="Times New Roman" w:eastAsia="標楷體" w:hAnsi="Times New Roman" w:cs="Arial" w:hint="eastAsia"/>
                <w:color w:val="000000"/>
                <w:kern w:val="0"/>
                <w:sz w:val="26"/>
                <w:szCs w:val="26"/>
              </w:rPr>
              <w:t>上</w:t>
            </w:r>
            <w:proofErr w:type="gramStart"/>
            <w:r w:rsidRPr="00E60043">
              <w:rPr>
                <w:rFonts w:ascii="Times New Roman" w:eastAsia="標楷體" w:hAnsi="Times New Roman" w:cs="Arial" w:hint="eastAsia"/>
                <w:color w:val="000000"/>
                <w:kern w:val="0"/>
                <w:sz w:val="26"/>
                <w:szCs w:val="26"/>
              </w:rPr>
              <w:t>開令釋已</w:t>
            </w:r>
            <w:proofErr w:type="gramEnd"/>
            <w:r w:rsidRPr="00E60043">
              <w:rPr>
                <w:rFonts w:ascii="Times New Roman" w:eastAsia="標楷體" w:hAnsi="Times New Roman" w:cs="Arial" w:hint="eastAsia"/>
                <w:color w:val="000000"/>
                <w:kern w:val="0"/>
                <w:sz w:val="26"/>
                <w:szCs w:val="26"/>
              </w:rPr>
              <w:t>考量上市</w:t>
            </w:r>
            <w:r w:rsidRPr="00CE7987">
              <w:rPr>
                <w:rFonts w:ascii="Times New Roman" w:eastAsia="標楷體" w:hAnsi="Times New Roman" w:cs="Arial" w:hint="eastAsia"/>
                <w:color w:val="000000"/>
                <w:kern w:val="0"/>
                <w:sz w:val="26"/>
                <w:szCs w:val="26"/>
              </w:rPr>
              <w:t>（櫃）</w:t>
            </w:r>
            <w:proofErr w:type="gramStart"/>
            <w:r w:rsidRPr="00E60043">
              <w:rPr>
                <w:rFonts w:ascii="Times New Roman" w:eastAsia="標楷體" w:hAnsi="Times New Roman" w:cs="Arial" w:hint="eastAsia"/>
                <w:color w:val="000000"/>
                <w:kern w:val="0"/>
                <w:sz w:val="26"/>
                <w:szCs w:val="26"/>
              </w:rPr>
              <w:t>投控公司</w:t>
            </w:r>
            <w:proofErr w:type="gramEnd"/>
            <w:r w:rsidRPr="00E60043">
              <w:rPr>
                <w:rFonts w:ascii="Times New Roman" w:eastAsia="標楷體" w:hAnsi="Times New Roman" w:cs="Arial" w:hint="eastAsia"/>
                <w:color w:val="000000"/>
                <w:kern w:val="0"/>
                <w:sz w:val="26"/>
                <w:szCs w:val="26"/>
              </w:rPr>
              <w:t>受證券交易法、臺灣證券交易所股份有限公司有價證券上市審查準則第</w:t>
            </w:r>
            <w:r w:rsidRPr="00E60043">
              <w:rPr>
                <w:rFonts w:ascii="Times New Roman" w:eastAsia="標楷體" w:hAnsi="Times New Roman" w:cs="Arial" w:hint="eastAsia"/>
                <w:color w:val="000000"/>
                <w:kern w:val="0"/>
                <w:sz w:val="26"/>
                <w:szCs w:val="26"/>
              </w:rPr>
              <w:t>20</w:t>
            </w:r>
            <w:r w:rsidRPr="00E60043">
              <w:rPr>
                <w:rFonts w:ascii="Times New Roman" w:eastAsia="標楷體" w:hAnsi="Times New Roman" w:cs="Arial" w:hint="eastAsia"/>
                <w:color w:val="000000"/>
                <w:kern w:val="0"/>
                <w:sz w:val="26"/>
                <w:szCs w:val="26"/>
              </w:rPr>
              <w:t>條、財團法人中華民國證券櫃檯買賣中心投資控股公司申請上櫃補充規定第</w:t>
            </w:r>
            <w:r w:rsidRPr="00E60043">
              <w:rPr>
                <w:rFonts w:ascii="Times New Roman" w:eastAsia="標楷體" w:hAnsi="Times New Roman" w:cs="Arial" w:hint="eastAsia"/>
                <w:color w:val="000000"/>
                <w:kern w:val="0"/>
                <w:sz w:val="26"/>
                <w:szCs w:val="26"/>
              </w:rPr>
              <w:t>1</w:t>
            </w:r>
            <w:r w:rsidRPr="00E60043">
              <w:rPr>
                <w:rFonts w:ascii="Times New Roman" w:eastAsia="標楷體" w:hAnsi="Times New Roman" w:cs="Arial" w:hint="eastAsia"/>
                <w:color w:val="000000"/>
                <w:kern w:val="0"/>
                <w:sz w:val="26"/>
                <w:szCs w:val="26"/>
              </w:rPr>
              <w:t>條等法規監督，其具相當產業規模及協助產業供應鏈垂直整合與集團企業專業分工之特性，</w:t>
            </w:r>
            <w:proofErr w:type="gramStart"/>
            <w:r w:rsidRPr="00E60043">
              <w:rPr>
                <w:rFonts w:ascii="Times New Roman" w:eastAsia="標楷體" w:hAnsi="Times New Roman" w:cs="Arial" w:hint="eastAsia"/>
                <w:color w:val="000000"/>
                <w:kern w:val="0"/>
                <w:sz w:val="26"/>
                <w:szCs w:val="26"/>
              </w:rPr>
              <w:t>爰</w:t>
            </w:r>
            <w:proofErr w:type="gramEnd"/>
            <w:r w:rsidRPr="00E60043">
              <w:rPr>
                <w:rFonts w:ascii="Times New Roman" w:eastAsia="標楷體" w:hAnsi="Times New Roman" w:cs="Arial" w:hint="eastAsia"/>
                <w:color w:val="000000"/>
                <w:kern w:val="0"/>
                <w:sz w:val="26"/>
                <w:szCs w:val="26"/>
              </w:rPr>
              <w:t>予放寬核釋。至依財務會計認定之權益法評價被投資</w:t>
            </w:r>
            <w:proofErr w:type="gramStart"/>
            <w:r w:rsidRPr="00E60043">
              <w:rPr>
                <w:rFonts w:ascii="Times New Roman" w:eastAsia="標楷體" w:hAnsi="Times New Roman" w:cs="Arial" w:hint="eastAsia"/>
                <w:color w:val="000000"/>
                <w:kern w:val="0"/>
                <w:sz w:val="26"/>
                <w:szCs w:val="26"/>
              </w:rPr>
              <w:t>公司倘未具</w:t>
            </w:r>
            <w:proofErr w:type="gramEnd"/>
            <w:r w:rsidRPr="00E60043">
              <w:rPr>
                <w:rFonts w:ascii="Times New Roman" w:eastAsia="標楷體" w:hAnsi="Times New Roman" w:cs="Arial" w:hint="eastAsia"/>
                <w:color w:val="000000"/>
                <w:kern w:val="0"/>
                <w:sz w:val="26"/>
                <w:szCs w:val="26"/>
              </w:rPr>
              <w:t>控制力，非屬上開規定之被投資控股公司，自</w:t>
            </w:r>
            <w:proofErr w:type="gramStart"/>
            <w:r w:rsidRPr="00E60043">
              <w:rPr>
                <w:rFonts w:ascii="Times New Roman" w:eastAsia="標楷體" w:hAnsi="Times New Roman" w:cs="Arial" w:hint="eastAsia"/>
                <w:color w:val="000000"/>
                <w:kern w:val="0"/>
                <w:sz w:val="26"/>
                <w:szCs w:val="26"/>
              </w:rPr>
              <w:t>無上開函釋</w:t>
            </w:r>
            <w:proofErr w:type="gramEnd"/>
            <w:r w:rsidRPr="00E60043">
              <w:rPr>
                <w:rFonts w:ascii="Times New Roman" w:eastAsia="標楷體" w:hAnsi="Times New Roman" w:cs="Arial" w:hint="eastAsia"/>
                <w:color w:val="000000"/>
                <w:kern w:val="0"/>
                <w:sz w:val="26"/>
                <w:szCs w:val="26"/>
              </w:rPr>
              <w:t>之適用。</w:t>
            </w:r>
          </w:p>
          <w:p w14:paraId="5BA44C42" w14:textId="77777777" w:rsidR="005E5F3E" w:rsidRPr="00ED4851" w:rsidRDefault="005E5F3E" w:rsidP="00C97469">
            <w:pPr>
              <w:pStyle w:val="ab"/>
              <w:numPr>
                <w:ilvl w:val="0"/>
                <w:numId w:val="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E60043">
              <w:rPr>
                <w:rFonts w:ascii="Times New Roman" w:eastAsia="標楷體" w:hAnsi="Times New Roman" w:cs="Arial" w:hint="eastAsia"/>
                <w:color w:val="000000"/>
                <w:kern w:val="0"/>
                <w:sz w:val="26"/>
                <w:szCs w:val="26"/>
              </w:rPr>
              <w:t>證券交易法；臺灣證券交易所股份有限公司有價證券上市審查準則第</w:t>
            </w:r>
            <w:r w:rsidRPr="00E60043">
              <w:rPr>
                <w:rFonts w:ascii="Times New Roman" w:eastAsia="標楷體" w:hAnsi="Times New Roman" w:cs="Arial" w:hint="eastAsia"/>
                <w:color w:val="000000"/>
                <w:kern w:val="0"/>
                <w:sz w:val="26"/>
                <w:szCs w:val="26"/>
              </w:rPr>
              <w:t>20</w:t>
            </w:r>
            <w:r w:rsidRPr="00E60043">
              <w:rPr>
                <w:rFonts w:ascii="Times New Roman" w:eastAsia="標楷體" w:hAnsi="Times New Roman" w:cs="Arial" w:hint="eastAsia"/>
                <w:color w:val="000000"/>
                <w:kern w:val="0"/>
                <w:sz w:val="26"/>
                <w:szCs w:val="26"/>
              </w:rPr>
              <w:t>條；財團法人中華民國證券櫃檯買賣中心投資控股公司申請上櫃補充規定第</w:t>
            </w:r>
            <w:r w:rsidRPr="00E60043">
              <w:rPr>
                <w:rFonts w:ascii="Times New Roman" w:eastAsia="標楷體" w:hAnsi="Times New Roman" w:cs="Arial" w:hint="eastAsia"/>
                <w:color w:val="000000"/>
                <w:kern w:val="0"/>
                <w:sz w:val="26"/>
                <w:szCs w:val="26"/>
              </w:rPr>
              <w:t>1</w:t>
            </w:r>
            <w:r w:rsidRPr="00E60043">
              <w:rPr>
                <w:rFonts w:ascii="Times New Roman" w:eastAsia="標楷體" w:hAnsi="Times New Roman" w:cs="Arial" w:hint="eastAsia"/>
                <w:color w:val="000000"/>
                <w:kern w:val="0"/>
                <w:sz w:val="26"/>
                <w:szCs w:val="26"/>
              </w:rPr>
              <w:t>條；財政部</w:t>
            </w:r>
            <w:r w:rsidRPr="00E60043">
              <w:rPr>
                <w:rFonts w:ascii="Times New Roman" w:eastAsia="標楷體" w:hAnsi="Times New Roman" w:cs="Arial" w:hint="eastAsia"/>
                <w:color w:val="000000"/>
                <w:kern w:val="0"/>
                <w:sz w:val="26"/>
                <w:szCs w:val="26"/>
              </w:rPr>
              <w:t>2024</w:t>
            </w:r>
            <w:r w:rsidRPr="00E60043">
              <w:rPr>
                <w:rFonts w:ascii="Times New Roman" w:eastAsia="標楷體" w:hAnsi="Times New Roman" w:cs="Arial" w:hint="eastAsia"/>
                <w:color w:val="000000"/>
                <w:kern w:val="0"/>
                <w:sz w:val="26"/>
                <w:szCs w:val="26"/>
              </w:rPr>
              <w:t>年</w:t>
            </w:r>
            <w:r w:rsidRPr="00E60043">
              <w:rPr>
                <w:rFonts w:ascii="Times New Roman" w:eastAsia="標楷體" w:hAnsi="Times New Roman" w:cs="Arial" w:hint="eastAsia"/>
                <w:color w:val="000000"/>
                <w:kern w:val="0"/>
                <w:sz w:val="26"/>
                <w:szCs w:val="26"/>
              </w:rPr>
              <w:t>4</w:t>
            </w:r>
            <w:r w:rsidRPr="00E60043">
              <w:rPr>
                <w:rFonts w:ascii="Times New Roman" w:eastAsia="標楷體" w:hAnsi="Times New Roman" w:cs="Arial" w:hint="eastAsia"/>
                <w:color w:val="000000"/>
                <w:kern w:val="0"/>
                <w:sz w:val="26"/>
                <w:szCs w:val="26"/>
              </w:rPr>
              <w:t>月</w:t>
            </w:r>
            <w:r w:rsidRPr="00E60043">
              <w:rPr>
                <w:rFonts w:ascii="Times New Roman" w:eastAsia="標楷體" w:hAnsi="Times New Roman" w:cs="Arial" w:hint="eastAsia"/>
                <w:color w:val="000000"/>
                <w:kern w:val="0"/>
                <w:sz w:val="26"/>
                <w:szCs w:val="26"/>
              </w:rPr>
              <w:t>18</w:t>
            </w:r>
            <w:r w:rsidRPr="00E60043">
              <w:rPr>
                <w:rFonts w:ascii="Times New Roman" w:eastAsia="標楷體" w:hAnsi="Times New Roman" w:cs="Arial" w:hint="eastAsia"/>
                <w:color w:val="000000"/>
                <w:kern w:val="0"/>
                <w:sz w:val="26"/>
                <w:szCs w:val="26"/>
              </w:rPr>
              <w:t>日</w:t>
            </w:r>
            <w:proofErr w:type="gramStart"/>
            <w:r w:rsidRPr="00E60043">
              <w:rPr>
                <w:rFonts w:ascii="Times New Roman" w:eastAsia="標楷體" w:hAnsi="Times New Roman" w:cs="Arial" w:hint="eastAsia"/>
                <w:color w:val="000000"/>
                <w:kern w:val="0"/>
                <w:sz w:val="26"/>
                <w:szCs w:val="26"/>
              </w:rPr>
              <w:t>臺</w:t>
            </w:r>
            <w:proofErr w:type="gramEnd"/>
            <w:r w:rsidRPr="00E60043">
              <w:rPr>
                <w:rFonts w:ascii="Times New Roman" w:eastAsia="標楷體" w:hAnsi="Times New Roman" w:cs="Arial" w:hint="eastAsia"/>
                <w:color w:val="000000"/>
                <w:kern w:val="0"/>
                <w:sz w:val="26"/>
                <w:szCs w:val="26"/>
              </w:rPr>
              <w:t>財稅字第</w:t>
            </w:r>
            <w:r w:rsidRPr="00E60043">
              <w:rPr>
                <w:rFonts w:ascii="Times New Roman" w:eastAsia="標楷體" w:hAnsi="Times New Roman" w:cs="Arial" w:hint="eastAsia"/>
                <w:color w:val="000000"/>
                <w:kern w:val="0"/>
                <w:sz w:val="26"/>
                <w:szCs w:val="26"/>
              </w:rPr>
              <w:t>11200675690</w:t>
            </w:r>
            <w:r w:rsidRPr="00E60043">
              <w:rPr>
                <w:rFonts w:ascii="Times New Roman" w:eastAsia="標楷體" w:hAnsi="Times New Roman" w:cs="Arial" w:hint="eastAsia"/>
                <w:color w:val="000000"/>
                <w:kern w:val="0"/>
                <w:sz w:val="26"/>
                <w:szCs w:val="26"/>
              </w:rPr>
              <w:t>號令</w:t>
            </w:r>
          </w:p>
        </w:tc>
        <w:tc>
          <w:tcPr>
            <w:tcW w:w="1417" w:type="dxa"/>
            <w:noWrap/>
          </w:tcPr>
          <w:p w14:paraId="490E70F8"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33262019"/>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4A10B0A3"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045110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7D552F2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83471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48001356"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05049898"/>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0F23B4CE" w14:textId="77777777" w:rsidTr="00C97469">
        <w:tc>
          <w:tcPr>
            <w:tcW w:w="1418" w:type="dxa"/>
            <w:vMerge/>
            <w:hideMark/>
          </w:tcPr>
          <w:p w14:paraId="0A1A3975"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shd w:val="clear" w:color="FFFFFF" w:fill="FFFFFF"/>
            <w:hideMark/>
          </w:tcPr>
          <w:p w14:paraId="2B1AF746" w14:textId="77777777" w:rsidR="005E5F3E" w:rsidRPr="007D7972"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D7972">
              <w:rPr>
                <w:rFonts w:ascii="Times New Roman" w:eastAsia="標楷體" w:hAnsi="Times New Roman" w:cs="Arial"/>
                <w:b/>
                <w:bCs/>
                <w:color w:val="000000"/>
                <w:kern w:val="0"/>
                <w:sz w:val="26"/>
                <w:szCs w:val="28"/>
              </w:rPr>
              <w:t>(</w:t>
            </w:r>
            <w:r w:rsidRPr="007D7972">
              <w:rPr>
                <w:rFonts w:ascii="Times New Roman" w:eastAsia="標楷體" w:hAnsi="Times New Roman" w:cs="Arial"/>
                <w:b/>
                <w:bCs/>
                <w:color w:val="000000"/>
                <w:kern w:val="0"/>
                <w:sz w:val="26"/>
                <w:szCs w:val="28"/>
              </w:rPr>
              <w:t>二</w:t>
            </w:r>
            <w:r w:rsidRPr="007D7972">
              <w:rPr>
                <w:rFonts w:ascii="Times New Roman" w:eastAsia="標楷體" w:hAnsi="Times New Roman" w:cs="Arial"/>
                <w:b/>
                <w:bCs/>
                <w:color w:val="000000"/>
                <w:kern w:val="0"/>
                <w:sz w:val="26"/>
                <w:szCs w:val="28"/>
              </w:rPr>
              <w:t xml:space="preserve">) </w:t>
            </w:r>
            <w:r w:rsidRPr="007D7972">
              <w:rPr>
                <w:rFonts w:ascii="Times New Roman" w:eastAsia="標楷體" w:hAnsi="Times New Roman" w:cs="Arial"/>
                <w:b/>
                <w:bCs/>
                <w:color w:val="000000"/>
                <w:kern w:val="0"/>
                <w:sz w:val="26"/>
                <w:szCs w:val="28"/>
              </w:rPr>
              <w:t>建請重新核釋上市</w:t>
            </w:r>
            <w:r>
              <w:rPr>
                <w:rFonts w:ascii="Times New Roman" w:eastAsia="標楷體" w:hAnsi="Times New Roman" w:cs="Arial" w:hint="eastAsia"/>
                <w:b/>
                <w:bCs/>
                <w:color w:val="000000"/>
                <w:kern w:val="0"/>
                <w:sz w:val="26"/>
                <w:szCs w:val="28"/>
              </w:rPr>
              <w:t>（</w:t>
            </w:r>
            <w:r w:rsidRPr="007D7972">
              <w:rPr>
                <w:rFonts w:ascii="Times New Roman" w:eastAsia="標楷體" w:hAnsi="Times New Roman" w:cs="Arial"/>
                <w:b/>
                <w:bCs/>
                <w:color w:val="000000"/>
                <w:kern w:val="0"/>
                <w:sz w:val="26"/>
                <w:szCs w:val="28"/>
              </w:rPr>
              <w:t>櫃</w:t>
            </w:r>
            <w:r>
              <w:rPr>
                <w:rFonts w:ascii="Times New Roman" w:eastAsia="標楷體" w:hAnsi="Times New Roman" w:cs="Arial" w:hint="eastAsia"/>
                <w:b/>
                <w:bCs/>
                <w:color w:val="000000"/>
                <w:kern w:val="0"/>
                <w:sz w:val="26"/>
                <w:szCs w:val="28"/>
              </w:rPr>
              <w:t>）</w:t>
            </w:r>
            <w:r w:rsidRPr="007D7972">
              <w:rPr>
                <w:rFonts w:ascii="Times New Roman" w:eastAsia="標楷體" w:hAnsi="Times New Roman" w:cs="Arial"/>
                <w:b/>
                <w:bCs/>
                <w:color w:val="000000"/>
                <w:kern w:val="0"/>
                <w:sz w:val="26"/>
                <w:szCs w:val="28"/>
              </w:rPr>
              <w:t>投資控股公司適用所得稅連結稅制規定，納入持有國內子公司</w:t>
            </w:r>
            <w:r w:rsidRPr="007D7972">
              <w:rPr>
                <w:rFonts w:ascii="Times New Roman" w:eastAsia="標楷體" w:hAnsi="Times New Roman" w:cs="Arial"/>
                <w:b/>
                <w:bCs/>
                <w:color w:val="000000"/>
                <w:kern w:val="0"/>
                <w:sz w:val="26"/>
                <w:szCs w:val="28"/>
              </w:rPr>
              <w:t>90%</w:t>
            </w:r>
            <w:r w:rsidRPr="007D7972">
              <w:rPr>
                <w:rFonts w:ascii="Times New Roman" w:eastAsia="標楷體" w:hAnsi="Times New Roman" w:cs="Arial"/>
                <w:b/>
                <w:bCs/>
                <w:color w:val="000000"/>
                <w:kern w:val="0"/>
                <w:sz w:val="26"/>
                <w:szCs w:val="28"/>
              </w:rPr>
              <w:t>股權且達</w:t>
            </w:r>
            <w:r w:rsidRPr="007D7972">
              <w:rPr>
                <w:rFonts w:ascii="Times New Roman" w:eastAsia="標楷體" w:hAnsi="Times New Roman" w:cs="Arial"/>
                <w:b/>
                <w:bCs/>
                <w:color w:val="000000"/>
                <w:kern w:val="0"/>
                <w:sz w:val="26"/>
                <w:szCs w:val="28"/>
              </w:rPr>
              <w:t>12</w:t>
            </w:r>
            <w:r w:rsidRPr="007D7972">
              <w:rPr>
                <w:rFonts w:ascii="Times New Roman" w:eastAsia="標楷體" w:hAnsi="Times New Roman" w:cs="Arial"/>
                <w:b/>
                <w:bCs/>
                <w:color w:val="000000"/>
                <w:kern w:val="0"/>
                <w:sz w:val="26"/>
                <w:szCs w:val="28"/>
              </w:rPr>
              <w:t>個月以上，並</w:t>
            </w:r>
            <w:r w:rsidRPr="007D7972">
              <w:rPr>
                <w:rFonts w:ascii="Times New Roman" w:eastAsia="標楷體" w:hAnsi="Times New Roman" w:cs="Arial"/>
                <w:b/>
                <w:bCs/>
                <w:color w:val="000000"/>
                <w:kern w:val="0"/>
                <w:sz w:val="26"/>
                <w:szCs w:val="28"/>
              </w:rPr>
              <w:lastRenderedPageBreak/>
              <w:t>包含新設子公司之情形，均可適用連結稅制。</w:t>
            </w:r>
          </w:p>
        </w:tc>
        <w:tc>
          <w:tcPr>
            <w:tcW w:w="709" w:type="dxa"/>
            <w:hideMark/>
          </w:tcPr>
          <w:p w14:paraId="448D13FE"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hint="eastAsia"/>
                <w:color w:val="000000"/>
                <w:kern w:val="0"/>
                <w:sz w:val="32"/>
                <w:szCs w:val="32"/>
              </w:rPr>
              <w:lastRenderedPageBreak/>
              <w:sym w:font="Wingdings 2" w:char="F030"/>
            </w:r>
          </w:p>
        </w:tc>
        <w:tc>
          <w:tcPr>
            <w:tcW w:w="9214" w:type="dxa"/>
            <w:hideMark/>
          </w:tcPr>
          <w:p w14:paraId="7344CFC3" w14:textId="77777777" w:rsidR="005E5F3E" w:rsidRPr="00D53364"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D53364">
              <w:rPr>
                <w:rFonts w:ascii="Times New Roman" w:eastAsia="標楷體" w:hAnsi="Times New Roman" w:cs="Arial" w:hint="eastAsia"/>
                <w:b/>
                <w:bCs/>
                <w:color w:val="000000"/>
                <w:kern w:val="0"/>
                <w:sz w:val="26"/>
                <w:szCs w:val="28"/>
              </w:rPr>
              <w:t>財政部</w:t>
            </w:r>
          </w:p>
          <w:p w14:paraId="31E35989" w14:textId="77777777" w:rsidR="005E5F3E" w:rsidRDefault="005E5F3E" w:rsidP="00C97469">
            <w:pPr>
              <w:pStyle w:val="ab"/>
              <w:numPr>
                <w:ilvl w:val="0"/>
                <w:numId w:val="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79EEB39C" w14:textId="77777777" w:rsidR="005E5F3E" w:rsidRPr="00144BA3" w:rsidRDefault="005E5F3E"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144BA3">
              <w:rPr>
                <w:rFonts w:ascii="Times New Roman" w:eastAsia="標楷體" w:hAnsi="Times New Roman" w:cs="Arial" w:hint="eastAsia"/>
                <w:color w:val="000000"/>
                <w:kern w:val="0"/>
                <w:sz w:val="26"/>
                <w:szCs w:val="26"/>
              </w:rPr>
              <w:t>符合金融控股公司法第</w:t>
            </w:r>
            <w:r w:rsidRPr="00144BA3">
              <w:rPr>
                <w:rFonts w:ascii="Times New Roman" w:eastAsia="標楷體" w:hAnsi="Times New Roman" w:cs="Arial" w:hint="eastAsia"/>
                <w:color w:val="000000"/>
                <w:kern w:val="0"/>
                <w:sz w:val="26"/>
                <w:szCs w:val="26"/>
              </w:rPr>
              <w:t>49</w:t>
            </w:r>
            <w:r w:rsidRPr="00144BA3">
              <w:rPr>
                <w:rFonts w:ascii="Times New Roman" w:eastAsia="標楷體" w:hAnsi="Times New Roman" w:cs="Arial" w:hint="eastAsia"/>
                <w:color w:val="000000"/>
                <w:kern w:val="0"/>
                <w:sz w:val="26"/>
                <w:szCs w:val="26"/>
              </w:rPr>
              <w:t>條或企業</w:t>
            </w:r>
            <w:proofErr w:type="gramStart"/>
            <w:r w:rsidRPr="00144BA3">
              <w:rPr>
                <w:rFonts w:ascii="Times New Roman" w:eastAsia="標楷體" w:hAnsi="Times New Roman" w:cs="Arial" w:hint="eastAsia"/>
                <w:color w:val="000000"/>
                <w:kern w:val="0"/>
                <w:sz w:val="26"/>
                <w:szCs w:val="26"/>
              </w:rPr>
              <w:t>併購法</w:t>
            </w:r>
            <w:proofErr w:type="gramEnd"/>
            <w:r w:rsidRPr="00144BA3">
              <w:rPr>
                <w:rFonts w:ascii="Times New Roman" w:eastAsia="標楷體" w:hAnsi="Times New Roman" w:cs="Arial" w:hint="eastAsia"/>
                <w:color w:val="000000"/>
                <w:kern w:val="0"/>
                <w:sz w:val="26"/>
                <w:szCs w:val="26"/>
              </w:rPr>
              <w:t>第</w:t>
            </w:r>
            <w:r w:rsidRPr="00144BA3">
              <w:rPr>
                <w:rFonts w:ascii="Times New Roman" w:eastAsia="標楷體" w:hAnsi="Times New Roman" w:cs="Arial" w:hint="eastAsia"/>
                <w:color w:val="000000"/>
                <w:kern w:val="0"/>
                <w:sz w:val="26"/>
                <w:szCs w:val="26"/>
              </w:rPr>
              <w:t>45</w:t>
            </w:r>
            <w:r w:rsidRPr="00144BA3">
              <w:rPr>
                <w:rFonts w:ascii="Times New Roman" w:eastAsia="標楷體" w:hAnsi="Times New Roman" w:cs="Arial" w:hint="eastAsia"/>
                <w:color w:val="000000"/>
                <w:kern w:val="0"/>
                <w:sz w:val="26"/>
                <w:szCs w:val="26"/>
              </w:rPr>
              <w:t>條規定者，始得</w:t>
            </w:r>
            <w:proofErr w:type="gramStart"/>
            <w:r w:rsidRPr="00144BA3">
              <w:rPr>
                <w:rFonts w:ascii="Times New Roman" w:eastAsia="標楷體" w:hAnsi="Times New Roman" w:cs="Arial" w:hint="eastAsia"/>
                <w:color w:val="000000"/>
                <w:kern w:val="0"/>
                <w:sz w:val="26"/>
                <w:szCs w:val="26"/>
              </w:rPr>
              <w:t>採</w:t>
            </w:r>
            <w:proofErr w:type="gramEnd"/>
            <w:r w:rsidRPr="00144BA3">
              <w:rPr>
                <w:rFonts w:ascii="Times New Roman" w:eastAsia="標楷體" w:hAnsi="Times New Roman" w:cs="Arial" w:hint="eastAsia"/>
                <w:color w:val="000000"/>
                <w:kern w:val="0"/>
                <w:sz w:val="26"/>
                <w:szCs w:val="26"/>
              </w:rPr>
              <w:t>連結稅制辦理所得稅申報</w:t>
            </w:r>
          </w:p>
          <w:p w14:paraId="556D5584" w14:textId="77777777" w:rsidR="005E5F3E" w:rsidRPr="00144BA3" w:rsidRDefault="005E5F3E" w:rsidP="00C97469">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44BA3">
              <w:rPr>
                <w:rFonts w:ascii="Times New Roman" w:eastAsia="標楷體" w:hAnsi="Times New Roman" w:cs="Arial" w:hint="eastAsia"/>
                <w:color w:val="000000"/>
                <w:kern w:val="0"/>
                <w:sz w:val="26"/>
                <w:szCs w:val="26"/>
              </w:rPr>
              <w:t>依據所得稅法第</w:t>
            </w:r>
            <w:r w:rsidRPr="00144BA3">
              <w:rPr>
                <w:rFonts w:ascii="Times New Roman" w:eastAsia="標楷體" w:hAnsi="Times New Roman" w:cs="Arial" w:hint="eastAsia"/>
                <w:color w:val="000000"/>
                <w:kern w:val="0"/>
                <w:sz w:val="26"/>
                <w:szCs w:val="26"/>
              </w:rPr>
              <w:t>7</w:t>
            </w:r>
            <w:r w:rsidRPr="00144BA3">
              <w:rPr>
                <w:rFonts w:ascii="Times New Roman" w:eastAsia="標楷體" w:hAnsi="Times New Roman" w:cs="Arial" w:hint="eastAsia"/>
                <w:color w:val="000000"/>
                <w:kern w:val="0"/>
                <w:sz w:val="26"/>
                <w:szCs w:val="26"/>
              </w:rPr>
              <w:t>條第</w:t>
            </w:r>
            <w:r w:rsidRPr="00144BA3">
              <w:rPr>
                <w:rFonts w:ascii="Times New Roman" w:eastAsia="標楷體" w:hAnsi="Times New Roman" w:cs="Arial" w:hint="eastAsia"/>
                <w:color w:val="000000"/>
                <w:kern w:val="0"/>
                <w:sz w:val="26"/>
                <w:szCs w:val="26"/>
              </w:rPr>
              <w:t>1</w:t>
            </w:r>
            <w:r w:rsidRPr="00144BA3">
              <w:rPr>
                <w:rFonts w:ascii="Times New Roman" w:eastAsia="標楷體" w:hAnsi="Times New Roman" w:cs="Arial" w:hint="eastAsia"/>
                <w:color w:val="000000"/>
                <w:kern w:val="0"/>
                <w:sz w:val="26"/>
                <w:szCs w:val="26"/>
              </w:rPr>
              <w:t>項及第</w:t>
            </w:r>
            <w:r w:rsidRPr="00144BA3">
              <w:rPr>
                <w:rFonts w:ascii="Times New Roman" w:eastAsia="標楷體" w:hAnsi="Times New Roman" w:cs="Arial" w:hint="eastAsia"/>
                <w:color w:val="000000"/>
                <w:kern w:val="0"/>
                <w:sz w:val="26"/>
                <w:szCs w:val="26"/>
              </w:rPr>
              <w:t>4</w:t>
            </w:r>
            <w:r w:rsidRPr="00144BA3">
              <w:rPr>
                <w:rFonts w:ascii="Times New Roman" w:eastAsia="標楷體" w:hAnsi="Times New Roman" w:cs="Arial" w:hint="eastAsia"/>
                <w:color w:val="000000"/>
                <w:kern w:val="0"/>
                <w:sz w:val="26"/>
                <w:szCs w:val="26"/>
              </w:rPr>
              <w:t>項、第</w:t>
            </w:r>
            <w:r w:rsidRPr="00144BA3">
              <w:rPr>
                <w:rFonts w:ascii="Times New Roman" w:eastAsia="標楷體" w:hAnsi="Times New Roman" w:cs="Arial" w:hint="eastAsia"/>
                <w:color w:val="000000"/>
                <w:kern w:val="0"/>
                <w:sz w:val="26"/>
                <w:szCs w:val="26"/>
              </w:rPr>
              <w:t>11</w:t>
            </w:r>
            <w:r w:rsidRPr="00144BA3">
              <w:rPr>
                <w:rFonts w:ascii="Times New Roman" w:eastAsia="標楷體" w:hAnsi="Times New Roman" w:cs="Arial" w:hint="eastAsia"/>
                <w:color w:val="000000"/>
                <w:kern w:val="0"/>
                <w:sz w:val="26"/>
                <w:szCs w:val="26"/>
              </w:rPr>
              <w:t>條第</w:t>
            </w:r>
            <w:r w:rsidRPr="00144BA3">
              <w:rPr>
                <w:rFonts w:ascii="Times New Roman" w:eastAsia="標楷體" w:hAnsi="Times New Roman" w:cs="Arial" w:hint="eastAsia"/>
                <w:color w:val="000000"/>
                <w:kern w:val="0"/>
                <w:sz w:val="26"/>
                <w:szCs w:val="26"/>
              </w:rPr>
              <w:t>2</w:t>
            </w:r>
            <w:r w:rsidRPr="00144BA3">
              <w:rPr>
                <w:rFonts w:ascii="Times New Roman" w:eastAsia="標楷體" w:hAnsi="Times New Roman" w:cs="Arial" w:hint="eastAsia"/>
                <w:color w:val="000000"/>
                <w:kern w:val="0"/>
                <w:sz w:val="26"/>
                <w:szCs w:val="26"/>
              </w:rPr>
              <w:t>項及第</w:t>
            </w:r>
            <w:r w:rsidRPr="00144BA3">
              <w:rPr>
                <w:rFonts w:ascii="Times New Roman" w:eastAsia="標楷體" w:hAnsi="Times New Roman" w:cs="Arial" w:hint="eastAsia"/>
                <w:color w:val="000000"/>
                <w:kern w:val="0"/>
                <w:sz w:val="26"/>
                <w:szCs w:val="26"/>
              </w:rPr>
              <w:t>71</w:t>
            </w:r>
            <w:r w:rsidRPr="00144BA3">
              <w:rPr>
                <w:rFonts w:ascii="Times New Roman" w:eastAsia="標楷體" w:hAnsi="Times New Roman" w:cs="Arial" w:hint="eastAsia"/>
                <w:color w:val="000000"/>
                <w:kern w:val="0"/>
                <w:sz w:val="26"/>
                <w:szCs w:val="26"/>
              </w:rPr>
              <w:t>條第</w:t>
            </w:r>
            <w:r w:rsidRPr="00144BA3">
              <w:rPr>
                <w:rFonts w:ascii="Times New Roman" w:eastAsia="標楷體" w:hAnsi="Times New Roman" w:cs="Arial" w:hint="eastAsia"/>
                <w:color w:val="000000"/>
                <w:kern w:val="0"/>
                <w:sz w:val="26"/>
                <w:szCs w:val="26"/>
              </w:rPr>
              <w:t>1</w:t>
            </w:r>
            <w:r w:rsidRPr="00144BA3">
              <w:rPr>
                <w:rFonts w:ascii="Times New Roman" w:eastAsia="標楷體" w:hAnsi="Times New Roman" w:cs="Arial" w:hint="eastAsia"/>
                <w:color w:val="000000"/>
                <w:kern w:val="0"/>
                <w:sz w:val="26"/>
                <w:szCs w:val="26"/>
              </w:rPr>
              <w:t>項規定</w:t>
            </w:r>
            <w:r w:rsidRPr="00144BA3">
              <w:rPr>
                <w:rFonts w:ascii="Times New Roman" w:eastAsia="標楷體" w:hAnsi="Times New Roman" w:cs="Arial" w:hint="eastAsia"/>
                <w:color w:val="000000"/>
                <w:kern w:val="0"/>
                <w:sz w:val="26"/>
                <w:szCs w:val="26"/>
              </w:rPr>
              <w:lastRenderedPageBreak/>
              <w:t>，公司組織為獨立法人，應為納稅義務人並個別辦理所得稅申報。另為鼓勵企業</w:t>
            </w:r>
            <w:proofErr w:type="gramStart"/>
            <w:r w:rsidRPr="00144BA3">
              <w:rPr>
                <w:rFonts w:ascii="Times New Roman" w:eastAsia="標楷體" w:hAnsi="Times New Roman" w:cs="Arial" w:hint="eastAsia"/>
                <w:color w:val="000000"/>
                <w:kern w:val="0"/>
                <w:sz w:val="26"/>
                <w:szCs w:val="26"/>
              </w:rPr>
              <w:t>併</w:t>
            </w:r>
            <w:proofErr w:type="gramEnd"/>
            <w:r w:rsidRPr="00144BA3">
              <w:rPr>
                <w:rFonts w:ascii="Times New Roman" w:eastAsia="標楷體" w:hAnsi="Times New Roman" w:cs="Arial" w:hint="eastAsia"/>
                <w:color w:val="000000"/>
                <w:kern w:val="0"/>
                <w:sz w:val="26"/>
                <w:szCs w:val="26"/>
              </w:rPr>
              <w:t>購，發揮經營綜合效益，金融控股公司法第</w:t>
            </w:r>
            <w:r w:rsidRPr="00144BA3">
              <w:rPr>
                <w:rFonts w:ascii="Times New Roman" w:eastAsia="標楷體" w:hAnsi="Times New Roman" w:cs="Arial" w:hint="eastAsia"/>
                <w:color w:val="000000"/>
                <w:kern w:val="0"/>
                <w:sz w:val="26"/>
                <w:szCs w:val="26"/>
              </w:rPr>
              <w:t>49</w:t>
            </w:r>
            <w:r w:rsidRPr="00144BA3">
              <w:rPr>
                <w:rFonts w:ascii="Times New Roman" w:eastAsia="標楷體" w:hAnsi="Times New Roman" w:cs="Arial" w:hint="eastAsia"/>
                <w:color w:val="000000"/>
                <w:kern w:val="0"/>
                <w:sz w:val="26"/>
                <w:szCs w:val="26"/>
              </w:rPr>
              <w:t>條或企業</w:t>
            </w:r>
            <w:proofErr w:type="gramStart"/>
            <w:r w:rsidRPr="00144BA3">
              <w:rPr>
                <w:rFonts w:ascii="Times New Roman" w:eastAsia="標楷體" w:hAnsi="Times New Roman" w:cs="Arial" w:hint="eastAsia"/>
                <w:color w:val="000000"/>
                <w:kern w:val="0"/>
                <w:sz w:val="26"/>
                <w:szCs w:val="26"/>
              </w:rPr>
              <w:t>併購法</w:t>
            </w:r>
            <w:proofErr w:type="gramEnd"/>
            <w:r w:rsidRPr="00144BA3">
              <w:rPr>
                <w:rFonts w:ascii="Times New Roman" w:eastAsia="標楷體" w:hAnsi="Times New Roman" w:cs="Arial" w:hint="eastAsia"/>
                <w:color w:val="000000"/>
                <w:kern w:val="0"/>
                <w:sz w:val="26"/>
                <w:szCs w:val="26"/>
              </w:rPr>
              <w:t>第</w:t>
            </w:r>
            <w:r w:rsidRPr="00144BA3">
              <w:rPr>
                <w:rFonts w:ascii="Times New Roman" w:eastAsia="標楷體" w:hAnsi="Times New Roman" w:cs="Arial" w:hint="eastAsia"/>
                <w:color w:val="000000"/>
                <w:kern w:val="0"/>
                <w:sz w:val="26"/>
                <w:szCs w:val="26"/>
              </w:rPr>
              <w:t>45</w:t>
            </w:r>
            <w:r w:rsidRPr="00144BA3">
              <w:rPr>
                <w:rFonts w:ascii="Times New Roman" w:eastAsia="標楷體" w:hAnsi="Times New Roman" w:cs="Arial" w:hint="eastAsia"/>
                <w:color w:val="000000"/>
                <w:kern w:val="0"/>
                <w:sz w:val="26"/>
                <w:szCs w:val="26"/>
              </w:rPr>
              <w:t>條規定之合併、分割、收購且符合一定條件者，得由金融控股公司或</w:t>
            </w:r>
            <w:proofErr w:type="gramStart"/>
            <w:r w:rsidRPr="00144BA3">
              <w:rPr>
                <w:rFonts w:ascii="Times New Roman" w:eastAsia="標楷體" w:hAnsi="Times New Roman" w:cs="Arial" w:hint="eastAsia"/>
                <w:color w:val="000000"/>
                <w:kern w:val="0"/>
                <w:sz w:val="26"/>
                <w:szCs w:val="26"/>
              </w:rPr>
              <w:t>併購母</w:t>
            </w:r>
            <w:proofErr w:type="gramEnd"/>
            <w:r w:rsidRPr="00144BA3">
              <w:rPr>
                <w:rFonts w:ascii="Times New Roman" w:eastAsia="標楷體" w:hAnsi="Times New Roman" w:cs="Arial" w:hint="eastAsia"/>
                <w:color w:val="000000"/>
                <w:kern w:val="0"/>
                <w:sz w:val="26"/>
                <w:szCs w:val="26"/>
              </w:rPr>
              <w:t>公司為納稅義務人，合併辦理母、子公司之所得稅申報</w:t>
            </w:r>
            <w:r w:rsidRPr="00CE7987">
              <w:rPr>
                <w:rFonts w:ascii="Times New Roman" w:eastAsia="標楷體" w:hAnsi="Times New Roman" w:cs="Arial" w:hint="eastAsia"/>
                <w:color w:val="000000"/>
                <w:kern w:val="0"/>
                <w:sz w:val="26"/>
                <w:szCs w:val="26"/>
              </w:rPr>
              <w:t>（</w:t>
            </w:r>
            <w:r w:rsidRPr="00144BA3">
              <w:rPr>
                <w:rFonts w:ascii="Times New Roman" w:eastAsia="標楷體" w:hAnsi="Times New Roman" w:cs="Arial" w:hint="eastAsia"/>
                <w:color w:val="000000"/>
                <w:kern w:val="0"/>
                <w:sz w:val="26"/>
                <w:szCs w:val="26"/>
              </w:rPr>
              <w:t>連結稅制</w:t>
            </w:r>
            <w:r w:rsidRPr="00CE7987">
              <w:rPr>
                <w:rFonts w:ascii="Times New Roman" w:eastAsia="標楷體" w:hAnsi="Times New Roman" w:cs="Arial" w:hint="eastAsia"/>
                <w:color w:val="000000"/>
                <w:kern w:val="0"/>
                <w:sz w:val="26"/>
                <w:szCs w:val="26"/>
              </w:rPr>
              <w:t>）</w:t>
            </w:r>
            <w:r w:rsidRPr="00144BA3">
              <w:rPr>
                <w:rFonts w:ascii="Times New Roman" w:eastAsia="標楷體" w:hAnsi="Times New Roman" w:cs="Arial" w:hint="eastAsia"/>
                <w:color w:val="000000"/>
                <w:kern w:val="0"/>
                <w:sz w:val="26"/>
                <w:szCs w:val="26"/>
              </w:rPr>
              <w:t>。</w:t>
            </w:r>
          </w:p>
          <w:p w14:paraId="5E768DE1" w14:textId="77777777" w:rsidR="005E5F3E" w:rsidRPr="00144BA3" w:rsidRDefault="005E5F3E" w:rsidP="00C97469">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44BA3">
              <w:rPr>
                <w:rFonts w:ascii="Times New Roman" w:eastAsia="標楷體" w:hAnsi="Times New Roman" w:cs="Arial" w:hint="eastAsia"/>
                <w:color w:val="000000"/>
                <w:kern w:val="0"/>
                <w:sz w:val="26"/>
                <w:szCs w:val="26"/>
              </w:rPr>
              <w:t>至於公司投資新設子公司，該新設子公司為獨立法人，其未符合上開金融控股公司法第</w:t>
            </w:r>
            <w:r w:rsidRPr="00144BA3">
              <w:rPr>
                <w:rFonts w:ascii="Times New Roman" w:eastAsia="標楷體" w:hAnsi="Times New Roman" w:cs="Arial" w:hint="eastAsia"/>
                <w:color w:val="000000"/>
                <w:kern w:val="0"/>
                <w:sz w:val="26"/>
                <w:szCs w:val="26"/>
              </w:rPr>
              <w:t>49</w:t>
            </w:r>
            <w:r w:rsidRPr="00144BA3">
              <w:rPr>
                <w:rFonts w:ascii="Times New Roman" w:eastAsia="標楷體" w:hAnsi="Times New Roman" w:cs="Arial" w:hint="eastAsia"/>
                <w:color w:val="000000"/>
                <w:kern w:val="0"/>
                <w:sz w:val="26"/>
                <w:szCs w:val="26"/>
              </w:rPr>
              <w:t>條或企業</w:t>
            </w:r>
            <w:proofErr w:type="gramStart"/>
            <w:r w:rsidRPr="00144BA3">
              <w:rPr>
                <w:rFonts w:ascii="Times New Roman" w:eastAsia="標楷體" w:hAnsi="Times New Roman" w:cs="Arial" w:hint="eastAsia"/>
                <w:color w:val="000000"/>
                <w:kern w:val="0"/>
                <w:sz w:val="26"/>
                <w:szCs w:val="26"/>
              </w:rPr>
              <w:t>併購法</w:t>
            </w:r>
            <w:proofErr w:type="gramEnd"/>
            <w:r w:rsidRPr="00144BA3">
              <w:rPr>
                <w:rFonts w:ascii="Times New Roman" w:eastAsia="標楷體" w:hAnsi="Times New Roman" w:cs="Arial" w:hint="eastAsia"/>
                <w:color w:val="000000"/>
                <w:kern w:val="0"/>
                <w:sz w:val="26"/>
                <w:szCs w:val="26"/>
              </w:rPr>
              <w:t>第</w:t>
            </w:r>
            <w:r w:rsidRPr="00144BA3">
              <w:rPr>
                <w:rFonts w:ascii="Times New Roman" w:eastAsia="標楷體" w:hAnsi="Times New Roman" w:cs="Arial" w:hint="eastAsia"/>
                <w:color w:val="000000"/>
                <w:kern w:val="0"/>
                <w:sz w:val="26"/>
                <w:szCs w:val="26"/>
              </w:rPr>
              <w:t>45</w:t>
            </w:r>
            <w:r w:rsidRPr="00144BA3">
              <w:rPr>
                <w:rFonts w:ascii="Times New Roman" w:eastAsia="標楷體" w:hAnsi="Times New Roman" w:cs="Arial" w:hint="eastAsia"/>
                <w:color w:val="000000"/>
                <w:kern w:val="0"/>
                <w:sz w:val="26"/>
                <w:szCs w:val="26"/>
              </w:rPr>
              <w:t>條規定因合併、分割、收購而有實質控制關係者，應依上開所得稅法規定個別辦理所得稅申報。</w:t>
            </w:r>
          </w:p>
          <w:p w14:paraId="052DE448" w14:textId="77777777" w:rsidR="005E5F3E" w:rsidRPr="00ED4851" w:rsidRDefault="005E5F3E" w:rsidP="00C97469">
            <w:pPr>
              <w:pStyle w:val="ab"/>
              <w:numPr>
                <w:ilvl w:val="0"/>
                <w:numId w:val="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201D0">
              <w:rPr>
                <w:rFonts w:ascii="Times New Roman" w:eastAsia="標楷體" w:hAnsi="Times New Roman" w:cs="Arial" w:hint="eastAsia"/>
                <w:color w:val="000000"/>
                <w:kern w:val="0"/>
                <w:sz w:val="26"/>
                <w:szCs w:val="26"/>
              </w:rPr>
              <w:t>所得稅法第</w:t>
            </w:r>
            <w:r w:rsidRPr="008201D0">
              <w:rPr>
                <w:rFonts w:ascii="Times New Roman" w:eastAsia="標楷體" w:hAnsi="Times New Roman" w:cs="Arial" w:hint="eastAsia"/>
                <w:color w:val="000000"/>
                <w:kern w:val="0"/>
                <w:sz w:val="26"/>
                <w:szCs w:val="26"/>
              </w:rPr>
              <w:t>7</w:t>
            </w:r>
            <w:r w:rsidRPr="008201D0">
              <w:rPr>
                <w:rFonts w:ascii="Times New Roman" w:eastAsia="標楷體" w:hAnsi="Times New Roman" w:cs="Arial" w:hint="eastAsia"/>
                <w:color w:val="000000"/>
                <w:kern w:val="0"/>
                <w:sz w:val="26"/>
                <w:szCs w:val="26"/>
              </w:rPr>
              <w:t>條、第</w:t>
            </w:r>
            <w:r w:rsidRPr="008201D0">
              <w:rPr>
                <w:rFonts w:ascii="Times New Roman" w:eastAsia="標楷體" w:hAnsi="Times New Roman" w:cs="Arial" w:hint="eastAsia"/>
                <w:color w:val="000000"/>
                <w:kern w:val="0"/>
                <w:sz w:val="26"/>
                <w:szCs w:val="26"/>
              </w:rPr>
              <w:t>11</w:t>
            </w:r>
            <w:r w:rsidRPr="008201D0">
              <w:rPr>
                <w:rFonts w:ascii="Times New Roman" w:eastAsia="標楷體" w:hAnsi="Times New Roman" w:cs="Arial" w:hint="eastAsia"/>
                <w:color w:val="000000"/>
                <w:kern w:val="0"/>
                <w:sz w:val="26"/>
                <w:szCs w:val="26"/>
              </w:rPr>
              <w:t>條及第</w:t>
            </w:r>
            <w:r w:rsidRPr="008201D0">
              <w:rPr>
                <w:rFonts w:ascii="Times New Roman" w:eastAsia="標楷體" w:hAnsi="Times New Roman" w:cs="Arial" w:hint="eastAsia"/>
                <w:color w:val="000000"/>
                <w:kern w:val="0"/>
                <w:sz w:val="26"/>
                <w:szCs w:val="26"/>
              </w:rPr>
              <w:t>71</w:t>
            </w:r>
            <w:r w:rsidRPr="008201D0">
              <w:rPr>
                <w:rFonts w:ascii="Times New Roman" w:eastAsia="標楷體" w:hAnsi="Times New Roman" w:cs="Arial" w:hint="eastAsia"/>
                <w:color w:val="000000"/>
                <w:kern w:val="0"/>
                <w:sz w:val="26"/>
                <w:szCs w:val="26"/>
              </w:rPr>
              <w:t>條；金融控股公司法第</w:t>
            </w:r>
            <w:r w:rsidRPr="008201D0">
              <w:rPr>
                <w:rFonts w:ascii="Times New Roman" w:eastAsia="標楷體" w:hAnsi="Times New Roman" w:cs="Arial" w:hint="eastAsia"/>
                <w:color w:val="000000"/>
                <w:kern w:val="0"/>
                <w:sz w:val="26"/>
                <w:szCs w:val="26"/>
              </w:rPr>
              <w:t>49</w:t>
            </w:r>
            <w:r w:rsidRPr="008201D0">
              <w:rPr>
                <w:rFonts w:ascii="Times New Roman" w:eastAsia="標楷體" w:hAnsi="Times New Roman" w:cs="Arial" w:hint="eastAsia"/>
                <w:color w:val="000000"/>
                <w:kern w:val="0"/>
                <w:sz w:val="26"/>
                <w:szCs w:val="26"/>
              </w:rPr>
              <w:t>條；企業</w:t>
            </w:r>
            <w:proofErr w:type="gramStart"/>
            <w:r w:rsidRPr="008201D0">
              <w:rPr>
                <w:rFonts w:ascii="Times New Roman" w:eastAsia="標楷體" w:hAnsi="Times New Roman" w:cs="Arial" w:hint="eastAsia"/>
                <w:color w:val="000000"/>
                <w:kern w:val="0"/>
                <w:sz w:val="26"/>
                <w:szCs w:val="26"/>
              </w:rPr>
              <w:t>併購法</w:t>
            </w:r>
            <w:proofErr w:type="gramEnd"/>
            <w:r w:rsidRPr="008201D0">
              <w:rPr>
                <w:rFonts w:ascii="Times New Roman" w:eastAsia="標楷體" w:hAnsi="Times New Roman" w:cs="Arial" w:hint="eastAsia"/>
                <w:color w:val="000000"/>
                <w:kern w:val="0"/>
                <w:sz w:val="26"/>
                <w:szCs w:val="26"/>
              </w:rPr>
              <w:t>第</w:t>
            </w:r>
            <w:r w:rsidRPr="008201D0">
              <w:rPr>
                <w:rFonts w:ascii="Times New Roman" w:eastAsia="標楷體" w:hAnsi="Times New Roman" w:cs="Arial" w:hint="eastAsia"/>
                <w:color w:val="000000"/>
                <w:kern w:val="0"/>
                <w:sz w:val="26"/>
                <w:szCs w:val="26"/>
              </w:rPr>
              <w:t>45</w:t>
            </w:r>
            <w:r w:rsidRPr="008201D0">
              <w:rPr>
                <w:rFonts w:ascii="Times New Roman" w:eastAsia="標楷體" w:hAnsi="Times New Roman" w:cs="Arial" w:hint="eastAsia"/>
                <w:color w:val="000000"/>
                <w:kern w:val="0"/>
                <w:sz w:val="26"/>
                <w:szCs w:val="26"/>
              </w:rPr>
              <w:t>條</w:t>
            </w:r>
          </w:p>
        </w:tc>
        <w:tc>
          <w:tcPr>
            <w:tcW w:w="1417" w:type="dxa"/>
            <w:noWrap/>
          </w:tcPr>
          <w:p w14:paraId="4C9B551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0174365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7E1BBF92"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013663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0991460B"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1904307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2538CD2B"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74551757"/>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4D39424F" w14:textId="77777777" w:rsidTr="00C97469">
        <w:tc>
          <w:tcPr>
            <w:tcW w:w="1418" w:type="dxa"/>
            <w:vMerge/>
            <w:hideMark/>
          </w:tcPr>
          <w:p w14:paraId="67DBEF91"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7B82785F"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t>(</w:t>
            </w:r>
            <w:r w:rsidRPr="00011B19">
              <w:rPr>
                <w:rFonts w:ascii="Times New Roman" w:eastAsia="標楷體" w:hAnsi="Times New Roman" w:cs="Arial"/>
                <w:b/>
                <w:bCs/>
                <w:color w:val="000000"/>
                <w:kern w:val="0"/>
                <w:sz w:val="26"/>
                <w:szCs w:val="28"/>
              </w:rPr>
              <w:t>三</w:t>
            </w:r>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為減緩</w:t>
            </w:r>
            <w:r w:rsidRPr="00011B19">
              <w:rPr>
                <w:rFonts w:ascii="Times New Roman" w:eastAsia="標楷體" w:hAnsi="Times New Roman" w:cs="Arial"/>
                <w:b/>
                <w:bCs/>
                <w:color w:val="000000"/>
                <w:kern w:val="0"/>
                <w:sz w:val="26"/>
                <w:szCs w:val="28"/>
              </w:rPr>
              <w:t>CFC</w:t>
            </w:r>
            <w:r w:rsidRPr="00011B19">
              <w:rPr>
                <w:rFonts w:ascii="Times New Roman" w:eastAsia="標楷體" w:hAnsi="Times New Roman" w:cs="Arial"/>
                <w:b/>
                <w:bCs/>
                <w:color w:val="000000"/>
                <w:kern w:val="0"/>
                <w:sz w:val="26"/>
                <w:szCs w:val="28"/>
              </w:rPr>
              <w:t>衝擊</w:t>
            </w:r>
            <w:proofErr w:type="gramStart"/>
            <w:r>
              <w:rPr>
                <w:rFonts w:ascii="Times New Roman" w:eastAsia="標楷體" w:hAnsi="Times New Roman" w:cs="Arial"/>
                <w:b/>
                <w:bCs/>
                <w:color w:val="000000"/>
                <w:kern w:val="0"/>
                <w:sz w:val="26"/>
                <w:szCs w:val="28"/>
              </w:rPr>
              <w:t>臺</w:t>
            </w:r>
            <w:proofErr w:type="gramEnd"/>
            <w:r w:rsidRPr="00011B19">
              <w:rPr>
                <w:rFonts w:ascii="Times New Roman" w:eastAsia="標楷體" w:hAnsi="Times New Roman" w:cs="Arial"/>
                <w:b/>
                <w:bCs/>
                <w:color w:val="000000"/>
                <w:kern w:val="0"/>
                <w:sz w:val="26"/>
                <w:szCs w:val="28"/>
              </w:rPr>
              <w:t>商全球布局，建議我國參考其他國家導入「參與免稅制度」，將境外轉投資股利所得有條件免稅；或參考透過第三地轉投資大陸，導入間接稅額扣抵制度。</w:t>
            </w:r>
          </w:p>
        </w:tc>
        <w:tc>
          <w:tcPr>
            <w:tcW w:w="709" w:type="dxa"/>
            <w:hideMark/>
          </w:tcPr>
          <w:p w14:paraId="5750C787"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510358FD" w14:textId="77777777" w:rsidR="005E5F3E" w:rsidRPr="00E85803"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E85803">
              <w:rPr>
                <w:rFonts w:ascii="Times New Roman" w:eastAsia="標楷體" w:hAnsi="Times New Roman" w:cs="Arial" w:hint="eastAsia"/>
                <w:b/>
                <w:bCs/>
                <w:color w:val="000000"/>
                <w:kern w:val="0"/>
                <w:sz w:val="26"/>
                <w:szCs w:val="28"/>
              </w:rPr>
              <w:t>財政部</w:t>
            </w:r>
          </w:p>
          <w:p w14:paraId="0879BEAD" w14:textId="77777777" w:rsidR="005E5F3E" w:rsidRDefault="005E5F3E" w:rsidP="00C97469">
            <w:pPr>
              <w:pStyle w:val="ab"/>
              <w:numPr>
                <w:ilvl w:val="0"/>
                <w:numId w:val="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4194A161" w14:textId="77777777" w:rsidR="005E5F3E" w:rsidRPr="001101A8" w:rsidRDefault="005E5F3E" w:rsidP="00C97469">
            <w:pPr>
              <w:pStyle w:val="ab"/>
              <w:numPr>
                <w:ilvl w:val="0"/>
                <w:numId w:val="3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有關消除海外所得重複課稅一節，我國營所稅係</w:t>
            </w:r>
            <w:proofErr w:type="gramStart"/>
            <w:r w:rsidRPr="001101A8">
              <w:rPr>
                <w:rFonts w:ascii="Times New Roman" w:eastAsia="標楷體" w:hAnsi="Times New Roman" w:cs="Arial" w:hint="eastAsia"/>
                <w:color w:val="000000"/>
                <w:kern w:val="0"/>
                <w:sz w:val="26"/>
                <w:szCs w:val="26"/>
              </w:rPr>
              <w:t>採</w:t>
            </w:r>
            <w:proofErr w:type="gramEnd"/>
            <w:r w:rsidRPr="001101A8">
              <w:rPr>
                <w:rFonts w:ascii="Times New Roman" w:eastAsia="標楷體" w:hAnsi="Times New Roman" w:cs="Arial" w:hint="eastAsia"/>
                <w:color w:val="000000"/>
                <w:kern w:val="0"/>
                <w:sz w:val="26"/>
                <w:szCs w:val="26"/>
              </w:rPr>
              <w:t>直接稅額扣抵規定</w:t>
            </w:r>
          </w:p>
          <w:p w14:paraId="7DFFD85B" w14:textId="77777777" w:rsidR="005E5F3E" w:rsidRPr="001101A8"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A.</w:t>
            </w:r>
            <w:r w:rsidRPr="001101A8">
              <w:rPr>
                <w:rFonts w:ascii="Times New Roman" w:eastAsia="標楷體" w:hAnsi="Times New Roman" w:cs="Arial" w:hint="eastAsia"/>
                <w:color w:val="000000"/>
                <w:kern w:val="0"/>
                <w:sz w:val="26"/>
                <w:szCs w:val="26"/>
              </w:rPr>
              <w:t>依所得稅法第</w:t>
            </w:r>
            <w:r w:rsidRPr="001101A8">
              <w:rPr>
                <w:rFonts w:ascii="Times New Roman" w:eastAsia="標楷體" w:hAnsi="Times New Roman" w:cs="Arial" w:hint="eastAsia"/>
                <w:color w:val="000000"/>
                <w:kern w:val="0"/>
                <w:sz w:val="26"/>
                <w:szCs w:val="26"/>
              </w:rPr>
              <w:t>3</w:t>
            </w:r>
            <w:r w:rsidRPr="001101A8">
              <w:rPr>
                <w:rFonts w:ascii="Times New Roman" w:eastAsia="標楷體" w:hAnsi="Times New Roman" w:cs="Arial" w:hint="eastAsia"/>
                <w:color w:val="000000"/>
                <w:kern w:val="0"/>
                <w:sz w:val="26"/>
                <w:szCs w:val="26"/>
              </w:rPr>
              <w:t>條規定，營利事業總機構在中華民國境內者，應就其中華民國境內外全部營利事業所得，合併課徵營所稅，但其來自境外所得，已依所得來源國稅法規定繳納之所得稅，得自營利事業所得結算應納稅額中扣抵。依此，我國係</w:t>
            </w:r>
            <w:proofErr w:type="gramStart"/>
            <w:r w:rsidRPr="001101A8">
              <w:rPr>
                <w:rFonts w:ascii="Times New Roman" w:eastAsia="標楷體" w:hAnsi="Times New Roman" w:cs="Arial" w:hint="eastAsia"/>
                <w:color w:val="000000"/>
                <w:kern w:val="0"/>
                <w:sz w:val="26"/>
                <w:szCs w:val="26"/>
              </w:rPr>
              <w:t>採</w:t>
            </w:r>
            <w:proofErr w:type="gramEnd"/>
            <w:r w:rsidRPr="001101A8">
              <w:rPr>
                <w:rFonts w:ascii="Times New Roman" w:eastAsia="標楷體" w:hAnsi="Times New Roman" w:cs="Arial" w:hint="eastAsia"/>
                <w:color w:val="000000"/>
                <w:kern w:val="0"/>
                <w:sz w:val="26"/>
                <w:szCs w:val="26"/>
              </w:rPr>
              <w:t>國外稅額扣抵</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直接稅額扣抵法</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法</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而非國外所得免稅法</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消除投資所得跨境所面臨之重複課稅。</w:t>
            </w:r>
          </w:p>
          <w:p w14:paraId="5B1C1E42" w14:textId="77777777" w:rsidR="005E5F3E" w:rsidRPr="001101A8"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B.</w:t>
            </w:r>
            <w:r w:rsidRPr="001101A8">
              <w:rPr>
                <w:rFonts w:ascii="Times New Roman" w:eastAsia="標楷體" w:hAnsi="Times New Roman" w:cs="Arial" w:hint="eastAsia"/>
                <w:color w:val="000000"/>
                <w:kern w:val="0"/>
                <w:sz w:val="26"/>
                <w:szCs w:val="26"/>
              </w:rPr>
              <w:t>考量母、</w:t>
            </w:r>
            <w:proofErr w:type="gramStart"/>
            <w:r w:rsidRPr="001101A8">
              <w:rPr>
                <w:rFonts w:ascii="Times New Roman" w:eastAsia="標楷體" w:hAnsi="Times New Roman" w:cs="Arial" w:hint="eastAsia"/>
                <w:color w:val="000000"/>
                <w:kern w:val="0"/>
                <w:sz w:val="26"/>
                <w:szCs w:val="26"/>
              </w:rPr>
              <w:t>子公司均為獨立</w:t>
            </w:r>
            <w:proofErr w:type="gramEnd"/>
            <w:r w:rsidRPr="001101A8">
              <w:rPr>
                <w:rFonts w:ascii="Times New Roman" w:eastAsia="標楷體" w:hAnsi="Times New Roman" w:cs="Arial" w:hint="eastAsia"/>
                <w:color w:val="000000"/>
                <w:kern w:val="0"/>
                <w:sz w:val="26"/>
                <w:szCs w:val="26"/>
              </w:rPr>
              <w:t>法人，本應於各該租稅管轄區各負營所稅或公司所得稅納稅義務，境外子公司於所在地國係就其「利潤」繳納營所稅或公司所得稅且納稅義務人為境外子公司，至母公司計入所得課徵我國所得稅之所得為境外子公司之「股利」，兩者納稅義務人及所得</w:t>
            </w:r>
            <w:proofErr w:type="gramStart"/>
            <w:r w:rsidRPr="001101A8">
              <w:rPr>
                <w:rFonts w:ascii="Times New Roman" w:eastAsia="標楷體" w:hAnsi="Times New Roman" w:cs="Arial" w:hint="eastAsia"/>
                <w:color w:val="000000"/>
                <w:kern w:val="0"/>
                <w:sz w:val="26"/>
                <w:szCs w:val="26"/>
              </w:rPr>
              <w:t>性質均有不同</w:t>
            </w:r>
            <w:proofErr w:type="gramEnd"/>
            <w:r w:rsidRPr="001101A8">
              <w:rPr>
                <w:rFonts w:ascii="Times New Roman" w:eastAsia="標楷體" w:hAnsi="Times New Roman" w:cs="Arial" w:hint="eastAsia"/>
                <w:color w:val="000000"/>
                <w:kern w:val="0"/>
                <w:sz w:val="26"/>
                <w:szCs w:val="26"/>
              </w:rPr>
              <w:t>，前開境外子公司於所在地國繳納之所得稅尚不得</w:t>
            </w:r>
            <w:proofErr w:type="gramStart"/>
            <w:r w:rsidRPr="001101A8">
              <w:rPr>
                <w:rFonts w:ascii="Times New Roman" w:eastAsia="標楷體" w:hAnsi="Times New Roman" w:cs="Arial" w:hint="eastAsia"/>
                <w:color w:val="000000"/>
                <w:kern w:val="0"/>
                <w:sz w:val="26"/>
                <w:szCs w:val="26"/>
              </w:rPr>
              <w:t>扣抵母公司</w:t>
            </w:r>
            <w:proofErr w:type="gramEnd"/>
            <w:r w:rsidRPr="001101A8">
              <w:rPr>
                <w:rFonts w:ascii="Times New Roman" w:eastAsia="標楷體" w:hAnsi="Times New Roman" w:cs="Arial" w:hint="eastAsia"/>
                <w:color w:val="000000"/>
                <w:kern w:val="0"/>
                <w:sz w:val="26"/>
                <w:szCs w:val="26"/>
              </w:rPr>
              <w:t>於我國應納之營所稅。至子公司之稅後盈餘分配予我國公司時，如子公司所在地國就該股利扣繳所得稅，因其納稅義務人為我國母公司，且我國母公司係就該股利所得計入所得課徵我國所得稅，自得依所得稅法第</w:t>
            </w:r>
            <w:r w:rsidRPr="001101A8">
              <w:rPr>
                <w:rFonts w:ascii="Times New Roman" w:eastAsia="標楷體" w:hAnsi="Times New Roman" w:cs="Arial" w:hint="eastAsia"/>
                <w:color w:val="000000"/>
                <w:kern w:val="0"/>
                <w:sz w:val="26"/>
                <w:szCs w:val="26"/>
              </w:rPr>
              <w:t>3</w:t>
            </w:r>
            <w:r w:rsidRPr="001101A8">
              <w:rPr>
                <w:rFonts w:ascii="Times New Roman" w:eastAsia="標楷體" w:hAnsi="Times New Roman" w:cs="Arial" w:hint="eastAsia"/>
                <w:color w:val="000000"/>
                <w:kern w:val="0"/>
                <w:sz w:val="26"/>
                <w:szCs w:val="26"/>
              </w:rPr>
              <w:t>條規定自母公司加計該「股利」所得而依我國稅率計算增加之結算應納稅額限度內扣抵，以消除股利所得跨境重複課稅問題。</w:t>
            </w:r>
          </w:p>
          <w:p w14:paraId="60C1A5E9" w14:textId="77777777" w:rsidR="005E5F3E" w:rsidRPr="001101A8" w:rsidRDefault="005E5F3E" w:rsidP="00C97469">
            <w:pPr>
              <w:pStyle w:val="ab"/>
              <w:numPr>
                <w:ilvl w:val="0"/>
                <w:numId w:val="3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對大陸地區給予間接稅額扣抵規定，係基於特殊背景因素</w:t>
            </w:r>
          </w:p>
          <w:p w14:paraId="0006D6FB" w14:textId="77777777" w:rsidR="005E5F3E" w:rsidRPr="001101A8"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A.</w:t>
            </w:r>
            <w:r w:rsidRPr="001101A8">
              <w:rPr>
                <w:rFonts w:ascii="Times New Roman" w:eastAsia="標楷體" w:hAnsi="Times New Roman" w:cs="Arial" w:hint="eastAsia"/>
                <w:color w:val="000000"/>
                <w:kern w:val="0"/>
                <w:sz w:val="26"/>
                <w:szCs w:val="26"/>
              </w:rPr>
              <w:t>對於赴大陸地區投資之營利事業</w:t>
            </w:r>
            <w:r w:rsidRPr="00CE7987">
              <w:rPr>
                <w:rFonts w:ascii="Times New Roman" w:eastAsia="標楷體" w:hAnsi="Times New Roman" w:cs="Arial" w:hint="eastAsia"/>
                <w:color w:val="000000"/>
                <w:kern w:val="0"/>
                <w:sz w:val="26"/>
                <w:szCs w:val="26"/>
              </w:rPr>
              <w:t>（</w:t>
            </w:r>
            <w:proofErr w:type="gramStart"/>
            <w:r w:rsidRPr="001101A8">
              <w:rPr>
                <w:rFonts w:ascii="Times New Roman" w:eastAsia="標楷體" w:hAnsi="Times New Roman" w:cs="Arial" w:hint="eastAsia"/>
                <w:color w:val="000000"/>
                <w:kern w:val="0"/>
                <w:sz w:val="26"/>
                <w:szCs w:val="26"/>
              </w:rPr>
              <w:t>臺</w:t>
            </w:r>
            <w:proofErr w:type="gramEnd"/>
            <w:r w:rsidRPr="001101A8">
              <w:rPr>
                <w:rFonts w:ascii="Times New Roman" w:eastAsia="標楷體" w:hAnsi="Times New Roman" w:cs="Arial" w:hint="eastAsia"/>
                <w:color w:val="000000"/>
                <w:kern w:val="0"/>
                <w:sz w:val="26"/>
                <w:szCs w:val="26"/>
              </w:rPr>
              <w:t>商</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而言，渠等於</w:t>
            </w:r>
            <w:r w:rsidRPr="001101A8">
              <w:rPr>
                <w:rFonts w:ascii="Times New Roman" w:eastAsia="標楷體" w:hAnsi="Times New Roman" w:cs="Arial" w:hint="eastAsia"/>
                <w:color w:val="000000"/>
                <w:kern w:val="0"/>
                <w:sz w:val="26"/>
                <w:szCs w:val="26"/>
              </w:rPr>
              <w:t>2002</w:t>
            </w:r>
            <w:r w:rsidRPr="001101A8">
              <w:rPr>
                <w:rFonts w:ascii="Times New Roman" w:eastAsia="標楷體" w:hAnsi="Times New Roman" w:cs="Arial" w:hint="eastAsia"/>
                <w:color w:val="000000"/>
                <w:kern w:val="0"/>
                <w:sz w:val="26"/>
                <w:szCs w:val="26"/>
              </w:rPr>
              <w:t>年</w:t>
            </w:r>
            <w:r w:rsidRPr="001101A8">
              <w:rPr>
                <w:rFonts w:ascii="Times New Roman" w:eastAsia="標楷體" w:hAnsi="Times New Roman" w:cs="Arial" w:hint="eastAsia"/>
                <w:color w:val="000000"/>
                <w:kern w:val="0"/>
                <w:sz w:val="26"/>
                <w:szCs w:val="26"/>
              </w:rPr>
              <w:t>7</w:t>
            </w:r>
            <w:r w:rsidRPr="001101A8">
              <w:rPr>
                <w:rFonts w:ascii="Times New Roman" w:eastAsia="標楷體" w:hAnsi="Times New Roman" w:cs="Arial" w:hint="eastAsia"/>
                <w:color w:val="000000"/>
                <w:kern w:val="0"/>
                <w:sz w:val="26"/>
                <w:szCs w:val="26"/>
              </w:rPr>
              <w:t>月</w:t>
            </w:r>
            <w:r w:rsidRPr="001101A8">
              <w:rPr>
                <w:rFonts w:ascii="Times New Roman" w:eastAsia="標楷體" w:hAnsi="Times New Roman" w:cs="Arial" w:hint="eastAsia"/>
                <w:color w:val="000000"/>
                <w:kern w:val="0"/>
                <w:sz w:val="26"/>
                <w:szCs w:val="26"/>
              </w:rPr>
              <w:t>31</w:t>
            </w:r>
            <w:r w:rsidRPr="001101A8">
              <w:rPr>
                <w:rFonts w:ascii="Times New Roman" w:eastAsia="標楷體" w:hAnsi="Times New Roman" w:cs="Arial" w:hint="eastAsia"/>
                <w:color w:val="000000"/>
                <w:kern w:val="0"/>
                <w:sz w:val="26"/>
                <w:szCs w:val="26"/>
              </w:rPr>
              <w:t>日前依當時臺灣地區與大陸地區人民關係條例第</w:t>
            </w:r>
            <w:r w:rsidRPr="001101A8">
              <w:rPr>
                <w:rFonts w:ascii="Times New Roman" w:eastAsia="標楷體" w:hAnsi="Times New Roman" w:cs="Arial" w:hint="eastAsia"/>
                <w:color w:val="000000"/>
                <w:kern w:val="0"/>
                <w:sz w:val="26"/>
                <w:szCs w:val="26"/>
              </w:rPr>
              <w:t>35</w:t>
            </w:r>
            <w:r w:rsidRPr="001101A8">
              <w:rPr>
                <w:rFonts w:ascii="Times New Roman" w:eastAsia="標楷體" w:hAnsi="Times New Roman" w:cs="Arial" w:hint="eastAsia"/>
                <w:color w:val="000000"/>
                <w:kern w:val="0"/>
                <w:sz w:val="26"/>
                <w:szCs w:val="26"/>
              </w:rPr>
              <w:t>條規定應經由第三地區間接投</w:t>
            </w:r>
            <w:r w:rsidRPr="001101A8">
              <w:rPr>
                <w:rFonts w:ascii="Times New Roman" w:eastAsia="標楷體" w:hAnsi="Times New Roman" w:cs="Arial" w:hint="eastAsia"/>
                <w:color w:val="000000"/>
                <w:kern w:val="0"/>
                <w:sz w:val="26"/>
                <w:szCs w:val="26"/>
              </w:rPr>
              <w:lastRenderedPageBreak/>
              <w:t>資大陸地區，而為避免</w:t>
            </w:r>
            <w:proofErr w:type="gramStart"/>
            <w:r w:rsidRPr="001101A8">
              <w:rPr>
                <w:rFonts w:ascii="Times New Roman" w:eastAsia="標楷體" w:hAnsi="Times New Roman" w:cs="Arial" w:hint="eastAsia"/>
                <w:color w:val="000000"/>
                <w:kern w:val="0"/>
                <w:sz w:val="26"/>
                <w:szCs w:val="26"/>
              </w:rPr>
              <w:t>臺</w:t>
            </w:r>
            <w:proofErr w:type="gramEnd"/>
            <w:r w:rsidRPr="001101A8">
              <w:rPr>
                <w:rFonts w:ascii="Times New Roman" w:eastAsia="標楷體" w:hAnsi="Times New Roman" w:cs="Arial" w:hint="eastAsia"/>
                <w:color w:val="000000"/>
                <w:kern w:val="0"/>
                <w:sz w:val="26"/>
                <w:szCs w:val="26"/>
              </w:rPr>
              <w:t>商因依循前開間接投資規定致發生大陸地區投資收益總所得稅負較直接投資大陸為重之情形，</w:t>
            </w:r>
            <w:proofErr w:type="gramStart"/>
            <w:r w:rsidRPr="001101A8">
              <w:rPr>
                <w:rFonts w:ascii="Times New Roman" w:eastAsia="標楷體" w:hAnsi="Times New Roman" w:cs="Arial" w:hint="eastAsia"/>
                <w:color w:val="000000"/>
                <w:kern w:val="0"/>
                <w:sz w:val="26"/>
                <w:szCs w:val="26"/>
              </w:rPr>
              <w:t>爰</w:t>
            </w:r>
            <w:proofErr w:type="gramEnd"/>
            <w:r w:rsidRPr="001101A8">
              <w:rPr>
                <w:rFonts w:ascii="Times New Roman" w:eastAsia="標楷體" w:hAnsi="Times New Roman" w:cs="Arial" w:hint="eastAsia"/>
                <w:color w:val="000000"/>
                <w:kern w:val="0"/>
                <w:sz w:val="26"/>
                <w:szCs w:val="26"/>
              </w:rPr>
              <w:t>於同條例第</w:t>
            </w:r>
            <w:r w:rsidRPr="001101A8">
              <w:rPr>
                <w:rFonts w:ascii="Times New Roman" w:eastAsia="標楷體" w:hAnsi="Times New Roman" w:cs="Arial" w:hint="eastAsia"/>
                <w:color w:val="000000"/>
                <w:kern w:val="0"/>
                <w:sz w:val="26"/>
                <w:szCs w:val="26"/>
              </w:rPr>
              <w:t>24</w:t>
            </w:r>
            <w:r w:rsidRPr="001101A8">
              <w:rPr>
                <w:rFonts w:ascii="Times New Roman" w:eastAsia="標楷體" w:hAnsi="Times New Roman" w:cs="Arial" w:hint="eastAsia"/>
                <w:color w:val="000000"/>
                <w:kern w:val="0"/>
                <w:sz w:val="26"/>
                <w:szCs w:val="26"/>
              </w:rPr>
              <w:t>條規定，臺灣地區法人、團體及其他機構，經由其在第三地區投資設立公司在大陸地區從事投資者，</w:t>
            </w:r>
            <w:proofErr w:type="gramStart"/>
            <w:r w:rsidRPr="001101A8">
              <w:rPr>
                <w:rFonts w:ascii="Times New Roman" w:eastAsia="標楷體" w:hAnsi="Times New Roman" w:cs="Arial" w:hint="eastAsia"/>
                <w:color w:val="000000"/>
                <w:kern w:val="0"/>
                <w:sz w:val="26"/>
                <w:szCs w:val="26"/>
              </w:rPr>
              <w:t>於列報</w:t>
            </w:r>
            <w:proofErr w:type="gramEnd"/>
            <w:r w:rsidRPr="001101A8">
              <w:rPr>
                <w:rFonts w:ascii="Times New Roman" w:eastAsia="標楷體" w:hAnsi="Times New Roman" w:cs="Arial" w:hint="eastAsia"/>
                <w:color w:val="000000"/>
                <w:kern w:val="0"/>
                <w:sz w:val="26"/>
                <w:szCs w:val="26"/>
              </w:rPr>
              <w:t>第三地區公司投資收益時，其屬源自轉投資大陸地區公司分配之投資收益</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股利</w:t>
            </w:r>
            <w:r w:rsidRPr="00CE7987">
              <w:rPr>
                <w:rFonts w:ascii="Times New Roman" w:eastAsia="標楷體" w:hAnsi="Times New Roman" w:cs="Arial" w:hint="eastAsia"/>
                <w:color w:val="000000"/>
                <w:kern w:val="0"/>
                <w:sz w:val="26"/>
                <w:szCs w:val="26"/>
              </w:rPr>
              <w:t>）</w:t>
            </w:r>
            <w:r w:rsidRPr="001101A8">
              <w:rPr>
                <w:rFonts w:ascii="Times New Roman" w:eastAsia="標楷體" w:hAnsi="Times New Roman" w:cs="Arial" w:hint="eastAsia"/>
                <w:color w:val="000000"/>
                <w:kern w:val="0"/>
                <w:sz w:val="26"/>
                <w:szCs w:val="26"/>
              </w:rPr>
              <w:t>，在大陸地區及第</w:t>
            </w:r>
            <w:proofErr w:type="gramStart"/>
            <w:r w:rsidRPr="001101A8">
              <w:rPr>
                <w:rFonts w:ascii="Times New Roman" w:eastAsia="標楷體" w:hAnsi="Times New Roman" w:cs="Arial" w:hint="eastAsia"/>
                <w:color w:val="000000"/>
                <w:kern w:val="0"/>
                <w:sz w:val="26"/>
                <w:szCs w:val="26"/>
              </w:rPr>
              <w:t>三</w:t>
            </w:r>
            <w:proofErr w:type="gramEnd"/>
            <w:r w:rsidRPr="001101A8">
              <w:rPr>
                <w:rFonts w:ascii="Times New Roman" w:eastAsia="標楷體" w:hAnsi="Times New Roman" w:cs="Arial" w:hint="eastAsia"/>
                <w:color w:val="000000"/>
                <w:kern w:val="0"/>
                <w:sz w:val="26"/>
                <w:szCs w:val="26"/>
              </w:rPr>
              <w:t>地區已繳納所得稅，得自應納稅額中扣抵。</w:t>
            </w:r>
          </w:p>
          <w:p w14:paraId="21720DEA" w14:textId="77777777" w:rsidR="005E5F3E" w:rsidRPr="001101A8"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101A8">
              <w:rPr>
                <w:rFonts w:ascii="Times New Roman" w:eastAsia="標楷體" w:hAnsi="Times New Roman" w:cs="Arial" w:hint="eastAsia"/>
                <w:color w:val="000000"/>
                <w:kern w:val="0"/>
                <w:sz w:val="26"/>
                <w:szCs w:val="26"/>
              </w:rPr>
              <w:t>B.</w:t>
            </w:r>
            <w:r w:rsidRPr="001101A8">
              <w:rPr>
                <w:rFonts w:ascii="Times New Roman" w:eastAsia="標楷體" w:hAnsi="Times New Roman" w:cs="Arial" w:hint="eastAsia"/>
                <w:color w:val="000000"/>
                <w:kern w:val="0"/>
                <w:sz w:val="26"/>
                <w:szCs w:val="26"/>
              </w:rPr>
              <w:t>至營利事業投資其他國家或地區並無限制間接投資，基於商業理由且屬自由經濟行為，不適用上開條例規定，應依所得稅法規定辦理。</w:t>
            </w:r>
          </w:p>
          <w:p w14:paraId="2F8C7C5D" w14:textId="77777777" w:rsidR="005E5F3E" w:rsidRPr="00ED4851" w:rsidRDefault="005E5F3E" w:rsidP="00C97469">
            <w:pPr>
              <w:pStyle w:val="ab"/>
              <w:numPr>
                <w:ilvl w:val="0"/>
                <w:numId w:val="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13EEB">
              <w:rPr>
                <w:rFonts w:ascii="Times New Roman" w:eastAsia="標楷體" w:hAnsi="Times New Roman" w:cs="Arial" w:hint="eastAsia"/>
                <w:color w:val="000000"/>
                <w:kern w:val="0"/>
                <w:sz w:val="26"/>
                <w:szCs w:val="26"/>
              </w:rPr>
              <w:t>所得稅法第</w:t>
            </w:r>
            <w:r w:rsidRPr="00513EEB">
              <w:rPr>
                <w:rFonts w:ascii="Times New Roman" w:eastAsia="標楷體" w:hAnsi="Times New Roman" w:cs="Arial" w:hint="eastAsia"/>
                <w:color w:val="000000"/>
                <w:kern w:val="0"/>
                <w:sz w:val="26"/>
                <w:szCs w:val="26"/>
              </w:rPr>
              <w:t>3</w:t>
            </w:r>
            <w:r w:rsidRPr="00513EEB">
              <w:rPr>
                <w:rFonts w:ascii="Times New Roman" w:eastAsia="標楷體" w:hAnsi="Times New Roman" w:cs="Arial" w:hint="eastAsia"/>
                <w:color w:val="000000"/>
                <w:kern w:val="0"/>
                <w:sz w:val="26"/>
                <w:szCs w:val="26"/>
              </w:rPr>
              <w:t>條；臺灣地區與大陸地區人民關係條例第</w:t>
            </w:r>
            <w:r w:rsidRPr="00513EEB">
              <w:rPr>
                <w:rFonts w:ascii="Times New Roman" w:eastAsia="標楷體" w:hAnsi="Times New Roman" w:cs="Arial" w:hint="eastAsia"/>
                <w:color w:val="000000"/>
                <w:kern w:val="0"/>
                <w:sz w:val="26"/>
                <w:szCs w:val="26"/>
              </w:rPr>
              <w:t>24</w:t>
            </w:r>
            <w:r w:rsidRPr="00513EEB">
              <w:rPr>
                <w:rFonts w:ascii="Times New Roman" w:eastAsia="標楷體" w:hAnsi="Times New Roman" w:cs="Arial" w:hint="eastAsia"/>
                <w:color w:val="000000"/>
                <w:kern w:val="0"/>
                <w:sz w:val="26"/>
                <w:szCs w:val="26"/>
              </w:rPr>
              <w:t>條</w:t>
            </w:r>
          </w:p>
        </w:tc>
        <w:tc>
          <w:tcPr>
            <w:tcW w:w="1417" w:type="dxa"/>
            <w:noWrap/>
          </w:tcPr>
          <w:p w14:paraId="3B8BBF4C"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7166364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7B369355"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89651608"/>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77BF241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490262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7AD80B5F"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77878030"/>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58EF1684" w14:textId="77777777" w:rsidTr="00C97469">
        <w:tc>
          <w:tcPr>
            <w:tcW w:w="1418" w:type="dxa"/>
            <w:vMerge/>
            <w:hideMark/>
          </w:tcPr>
          <w:p w14:paraId="28B1A1D9"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419AD0CF"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t>(</w:t>
            </w:r>
            <w:r w:rsidRPr="00011B19">
              <w:rPr>
                <w:rFonts w:ascii="Times New Roman" w:eastAsia="標楷體" w:hAnsi="Times New Roman" w:cs="Arial"/>
                <w:b/>
                <w:bCs/>
                <w:color w:val="000000"/>
                <w:kern w:val="0"/>
                <w:sz w:val="26"/>
                <w:szCs w:val="28"/>
              </w:rPr>
              <w:t>四</w:t>
            </w:r>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為減緩</w:t>
            </w:r>
            <w:r w:rsidRPr="00011B19">
              <w:rPr>
                <w:rFonts w:ascii="Times New Roman" w:eastAsia="標楷體" w:hAnsi="Times New Roman" w:cs="Arial"/>
                <w:b/>
                <w:bCs/>
                <w:color w:val="000000"/>
                <w:kern w:val="0"/>
                <w:sz w:val="26"/>
                <w:szCs w:val="28"/>
              </w:rPr>
              <w:t>CFC</w:t>
            </w:r>
            <w:r w:rsidRPr="00011B19">
              <w:rPr>
                <w:rFonts w:ascii="Times New Roman" w:eastAsia="標楷體" w:hAnsi="Times New Roman" w:cs="Arial"/>
                <w:b/>
                <w:bCs/>
                <w:color w:val="000000"/>
                <w:kern w:val="0"/>
                <w:sz w:val="26"/>
                <w:szCs w:val="28"/>
              </w:rPr>
              <w:t>衝擊</w:t>
            </w:r>
            <w:proofErr w:type="gramStart"/>
            <w:r>
              <w:rPr>
                <w:rFonts w:ascii="Times New Roman" w:eastAsia="標楷體" w:hAnsi="Times New Roman" w:cs="Arial"/>
                <w:b/>
                <w:bCs/>
                <w:color w:val="000000"/>
                <w:kern w:val="0"/>
                <w:sz w:val="26"/>
                <w:szCs w:val="28"/>
              </w:rPr>
              <w:t>臺</w:t>
            </w:r>
            <w:proofErr w:type="gramEnd"/>
            <w:r w:rsidRPr="00011B19">
              <w:rPr>
                <w:rFonts w:ascii="Times New Roman" w:eastAsia="標楷體" w:hAnsi="Times New Roman" w:cs="Arial"/>
                <w:b/>
                <w:bCs/>
                <w:color w:val="000000"/>
                <w:kern w:val="0"/>
                <w:sz w:val="26"/>
                <w:szCs w:val="28"/>
              </w:rPr>
              <w:t>商全球布局，建議放寬</w:t>
            </w:r>
            <w:r w:rsidRPr="00011B19">
              <w:rPr>
                <w:rFonts w:ascii="Times New Roman" w:eastAsia="標楷體" w:hAnsi="Times New Roman" w:cs="Arial"/>
                <w:b/>
                <w:bCs/>
                <w:color w:val="000000"/>
                <w:kern w:val="0"/>
                <w:sz w:val="26"/>
                <w:szCs w:val="28"/>
              </w:rPr>
              <w:t>CFC</w:t>
            </w:r>
            <w:r w:rsidRPr="00011B19">
              <w:rPr>
                <w:rFonts w:ascii="Times New Roman" w:eastAsia="標楷體" w:hAnsi="Times New Roman" w:cs="Arial"/>
                <w:b/>
                <w:bCs/>
                <w:color w:val="000000"/>
                <w:kern w:val="0"/>
                <w:sz w:val="26"/>
                <w:szCs w:val="28"/>
              </w:rPr>
              <w:t>實質營運的豁免條件，例如提高消極性所得之占比。</w:t>
            </w:r>
          </w:p>
        </w:tc>
        <w:tc>
          <w:tcPr>
            <w:tcW w:w="709" w:type="dxa"/>
            <w:hideMark/>
          </w:tcPr>
          <w:p w14:paraId="6B4959E8"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780B08C5" w14:textId="77777777" w:rsidR="005E5F3E" w:rsidRPr="00C434CA"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C434CA">
              <w:rPr>
                <w:rFonts w:ascii="Times New Roman" w:eastAsia="標楷體" w:hAnsi="Times New Roman" w:cs="Arial" w:hint="eastAsia"/>
                <w:b/>
                <w:bCs/>
                <w:color w:val="000000"/>
                <w:kern w:val="0"/>
                <w:sz w:val="26"/>
                <w:szCs w:val="28"/>
              </w:rPr>
              <w:t>財政部</w:t>
            </w:r>
          </w:p>
          <w:p w14:paraId="5A5C788F" w14:textId="77777777" w:rsidR="005E5F3E" w:rsidRDefault="005E5F3E" w:rsidP="00C97469">
            <w:pPr>
              <w:pStyle w:val="ab"/>
              <w:numPr>
                <w:ilvl w:val="0"/>
                <w:numId w:val="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2889DDB1" w14:textId="77777777" w:rsidR="005E5F3E" w:rsidRPr="00DF4A85" w:rsidRDefault="005E5F3E" w:rsidP="00C97469">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4A85">
              <w:rPr>
                <w:rFonts w:ascii="Times New Roman" w:eastAsia="標楷體" w:hAnsi="Times New Roman" w:cs="Arial" w:hint="eastAsia"/>
                <w:color w:val="000000"/>
                <w:kern w:val="0"/>
                <w:sz w:val="26"/>
                <w:szCs w:val="26"/>
              </w:rPr>
              <w:t>我國受控外國企業</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CFC</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制度，係參</w:t>
            </w:r>
            <w:proofErr w:type="gramStart"/>
            <w:r w:rsidRPr="00DF4A85">
              <w:rPr>
                <w:rFonts w:ascii="Times New Roman" w:eastAsia="標楷體" w:hAnsi="Times New Roman" w:cs="Arial" w:hint="eastAsia"/>
                <w:color w:val="000000"/>
                <w:kern w:val="0"/>
                <w:sz w:val="26"/>
                <w:szCs w:val="26"/>
              </w:rPr>
              <w:t>採</w:t>
            </w:r>
            <w:proofErr w:type="gramEnd"/>
            <w:r w:rsidRPr="00DF4A85">
              <w:rPr>
                <w:rFonts w:ascii="Times New Roman" w:eastAsia="標楷體" w:hAnsi="Times New Roman" w:cs="Arial" w:hint="eastAsia"/>
                <w:color w:val="000000"/>
                <w:kern w:val="0"/>
                <w:sz w:val="26"/>
                <w:szCs w:val="26"/>
              </w:rPr>
              <w:t>經濟合作暨發展組織</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OECD</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防止稅基侵蝕及利潤移轉</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BEPS</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行動計畫</w:t>
            </w:r>
            <w:r w:rsidRPr="00DF4A85">
              <w:rPr>
                <w:rFonts w:ascii="Times New Roman" w:eastAsia="標楷體" w:hAnsi="Times New Roman" w:cs="Arial" w:hint="eastAsia"/>
                <w:color w:val="000000"/>
                <w:kern w:val="0"/>
                <w:sz w:val="26"/>
                <w:szCs w:val="26"/>
              </w:rPr>
              <w:t>3</w:t>
            </w:r>
            <w:r w:rsidRPr="00DF4A85">
              <w:rPr>
                <w:rFonts w:ascii="Times New Roman" w:eastAsia="標楷體" w:hAnsi="Times New Roman" w:cs="Arial" w:hint="eastAsia"/>
                <w:color w:val="000000"/>
                <w:kern w:val="0"/>
                <w:sz w:val="26"/>
                <w:szCs w:val="26"/>
              </w:rPr>
              <w:t>制定</w:t>
            </w:r>
          </w:p>
          <w:p w14:paraId="4C0A9DAD" w14:textId="77777777" w:rsidR="005E5F3E" w:rsidRPr="00DF4A85"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4A85">
              <w:rPr>
                <w:rFonts w:ascii="Times New Roman" w:eastAsia="標楷體" w:hAnsi="Times New Roman" w:cs="Arial" w:hint="eastAsia"/>
                <w:color w:val="000000"/>
                <w:kern w:val="0"/>
                <w:sz w:val="26"/>
                <w:szCs w:val="26"/>
              </w:rPr>
              <w:t>A.</w:t>
            </w:r>
            <w:r w:rsidRPr="00DF4A85">
              <w:rPr>
                <w:rFonts w:ascii="Times New Roman" w:eastAsia="標楷體" w:hAnsi="Times New Roman" w:cs="Arial" w:hint="eastAsia"/>
                <w:color w:val="000000"/>
                <w:kern w:val="0"/>
                <w:sz w:val="26"/>
                <w:szCs w:val="26"/>
              </w:rPr>
              <w:t>為防杜營利事業於低稅負租稅管轄區成立未具實質營運活動之</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，透過控制該</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決策權，將原歸屬納稅義務人之所得移轉至</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或盈餘保留於</w:t>
            </w:r>
            <w:r w:rsidRPr="00CE7987">
              <w:rPr>
                <w:rFonts w:ascii="Times New Roman" w:eastAsia="標楷體" w:hAnsi="Times New Roman" w:cs="Arial" w:hint="eastAsia"/>
                <w:color w:val="000000"/>
                <w:kern w:val="0"/>
                <w:sz w:val="26"/>
                <w:szCs w:val="26"/>
              </w:rPr>
              <w:t>）</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不分配，規避原本應納稅負，</w:t>
            </w:r>
            <w:r w:rsidRPr="00DF4A85">
              <w:rPr>
                <w:rFonts w:ascii="Times New Roman" w:eastAsia="標楷體" w:hAnsi="Times New Roman" w:cs="Arial" w:hint="eastAsia"/>
                <w:color w:val="000000"/>
                <w:kern w:val="0"/>
                <w:sz w:val="26"/>
                <w:szCs w:val="26"/>
              </w:rPr>
              <w:t>OECD</w:t>
            </w:r>
            <w:r w:rsidRPr="00DF4A85">
              <w:rPr>
                <w:rFonts w:ascii="Times New Roman" w:eastAsia="標楷體" w:hAnsi="Times New Roman" w:cs="Arial" w:hint="eastAsia"/>
                <w:color w:val="000000"/>
                <w:kern w:val="0"/>
                <w:sz w:val="26"/>
                <w:szCs w:val="26"/>
              </w:rPr>
              <w:t>於</w:t>
            </w:r>
            <w:r w:rsidRPr="00DF4A85">
              <w:rPr>
                <w:rFonts w:ascii="Times New Roman" w:eastAsia="標楷體" w:hAnsi="Times New Roman" w:cs="Arial" w:hint="eastAsia"/>
                <w:color w:val="000000"/>
                <w:kern w:val="0"/>
                <w:sz w:val="26"/>
                <w:szCs w:val="26"/>
              </w:rPr>
              <w:t>2015</w:t>
            </w:r>
            <w:r w:rsidRPr="00DF4A85">
              <w:rPr>
                <w:rFonts w:ascii="Times New Roman" w:eastAsia="標楷體" w:hAnsi="Times New Roman" w:cs="Arial" w:hint="eastAsia"/>
                <w:color w:val="000000"/>
                <w:kern w:val="0"/>
                <w:sz w:val="26"/>
                <w:szCs w:val="26"/>
              </w:rPr>
              <w:t>年發布</w:t>
            </w:r>
            <w:r w:rsidRPr="00DF4A85">
              <w:rPr>
                <w:rFonts w:ascii="Times New Roman" w:eastAsia="標楷體" w:hAnsi="Times New Roman" w:cs="Arial" w:hint="eastAsia"/>
                <w:color w:val="000000"/>
                <w:kern w:val="0"/>
                <w:sz w:val="26"/>
                <w:szCs w:val="26"/>
              </w:rPr>
              <w:t>BEPS</w:t>
            </w:r>
            <w:r w:rsidRPr="00DF4A85">
              <w:rPr>
                <w:rFonts w:ascii="Times New Roman" w:eastAsia="標楷體" w:hAnsi="Times New Roman" w:cs="Arial" w:hint="eastAsia"/>
                <w:color w:val="000000"/>
                <w:kern w:val="0"/>
                <w:sz w:val="26"/>
                <w:szCs w:val="26"/>
              </w:rPr>
              <w:t>行動計畫</w:t>
            </w:r>
            <w:r w:rsidRPr="00DF4A85">
              <w:rPr>
                <w:rFonts w:ascii="Times New Roman" w:eastAsia="標楷體" w:hAnsi="Times New Roman" w:cs="Arial" w:hint="eastAsia"/>
                <w:color w:val="000000"/>
                <w:kern w:val="0"/>
                <w:sz w:val="26"/>
                <w:szCs w:val="26"/>
              </w:rPr>
              <w:t>3</w:t>
            </w:r>
            <w:r w:rsidRPr="00DF4A85">
              <w:rPr>
                <w:rFonts w:ascii="Times New Roman" w:eastAsia="標楷體" w:hAnsi="Times New Roman" w:cs="Arial" w:hint="eastAsia"/>
                <w:color w:val="000000"/>
                <w:kern w:val="0"/>
                <w:sz w:val="26"/>
                <w:szCs w:val="26"/>
              </w:rPr>
              <w:t>，建議各國應建立</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制度，我國於</w:t>
            </w:r>
            <w:r w:rsidRPr="00DF4A85">
              <w:rPr>
                <w:rFonts w:ascii="Times New Roman" w:eastAsia="標楷體" w:hAnsi="Times New Roman" w:cs="Arial" w:hint="eastAsia"/>
                <w:color w:val="000000"/>
                <w:kern w:val="0"/>
                <w:sz w:val="26"/>
                <w:szCs w:val="26"/>
              </w:rPr>
              <w:t>2023</w:t>
            </w:r>
            <w:r w:rsidRPr="00DF4A85">
              <w:rPr>
                <w:rFonts w:ascii="Times New Roman" w:eastAsia="標楷體" w:hAnsi="Times New Roman" w:cs="Arial" w:hint="eastAsia"/>
                <w:color w:val="000000"/>
                <w:kern w:val="0"/>
                <w:sz w:val="26"/>
                <w:szCs w:val="26"/>
              </w:rPr>
              <w:t>年實施營利事業</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制度。</w:t>
            </w:r>
          </w:p>
          <w:p w14:paraId="4E4FCF89" w14:textId="77777777" w:rsidR="005E5F3E" w:rsidRPr="00DF4A85"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4A85">
              <w:rPr>
                <w:rFonts w:ascii="Times New Roman" w:eastAsia="標楷體" w:hAnsi="Times New Roman" w:cs="Arial" w:hint="eastAsia"/>
                <w:color w:val="000000"/>
                <w:kern w:val="0"/>
                <w:sz w:val="26"/>
                <w:szCs w:val="26"/>
              </w:rPr>
              <w:t>B.</w:t>
            </w:r>
            <w:r w:rsidRPr="00DF4A85">
              <w:rPr>
                <w:rFonts w:ascii="Times New Roman" w:eastAsia="標楷體" w:hAnsi="Times New Roman" w:cs="Arial" w:hint="eastAsia"/>
                <w:color w:val="000000"/>
                <w:kern w:val="0"/>
                <w:sz w:val="26"/>
                <w:szCs w:val="26"/>
              </w:rPr>
              <w:t>考量部分</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於當地有從事實質營運活動及減輕徵納雙方遵循成本，我國參</w:t>
            </w:r>
            <w:proofErr w:type="gramStart"/>
            <w:r w:rsidRPr="00DF4A85">
              <w:rPr>
                <w:rFonts w:ascii="Times New Roman" w:eastAsia="標楷體" w:hAnsi="Times New Roman" w:cs="Arial" w:hint="eastAsia"/>
                <w:color w:val="000000"/>
                <w:kern w:val="0"/>
                <w:sz w:val="26"/>
                <w:szCs w:val="26"/>
              </w:rPr>
              <w:t>採</w:t>
            </w:r>
            <w:proofErr w:type="gramEnd"/>
            <w:r w:rsidRPr="00DF4A85">
              <w:rPr>
                <w:rFonts w:ascii="Times New Roman" w:eastAsia="標楷體" w:hAnsi="Times New Roman" w:cs="Arial" w:hint="eastAsia"/>
                <w:color w:val="000000"/>
                <w:kern w:val="0"/>
                <w:sz w:val="26"/>
                <w:szCs w:val="26"/>
              </w:rPr>
              <w:t>前開行動計畫建議，規定符合實質營運活動豁免門檻或微量盈餘豁免門檻之</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，得免依我國</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制度計算投資收益。又為評估</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是否確有從事實際營運活動，及避免跨國企業集團利用</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規避稅負，</w:t>
            </w:r>
            <w:proofErr w:type="gramStart"/>
            <w:r w:rsidRPr="00DF4A85">
              <w:rPr>
                <w:rFonts w:ascii="Times New Roman" w:eastAsia="標楷體" w:hAnsi="Times New Roman" w:cs="Arial" w:hint="eastAsia"/>
                <w:color w:val="000000"/>
                <w:kern w:val="0"/>
                <w:sz w:val="26"/>
                <w:szCs w:val="26"/>
              </w:rPr>
              <w:t>爰</w:t>
            </w:r>
            <w:proofErr w:type="gramEnd"/>
            <w:r w:rsidRPr="00DF4A85">
              <w:rPr>
                <w:rFonts w:ascii="Times New Roman" w:eastAsia="標楷體" w:hAnsi="Times New Roman" w:cs="Arial" w:hint="eastAsia"/>
                <w:color w:val="000000"/>
                <w:kern w:val="0"/>
                <w:sz w:val="26"/>
                <w:szCs w:val="26"/>
              </w:rPr>
              <w:t>規定</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實質營運活動豁免條件之一為消極性所得占營業收入淨額及非營業收入總額合計數應低於</w:t>
            </w:r>
            <w:r w:rsidRPr="00DF4A85">
              <w:rPr>
                <w:rFonts w:ascii="Times New Roman" w:eastAsia="標楷體" w:hAnsi="Times New Roman" w:cs="Arial" w:hint="eastAsia"/>
                <w:color w:val="000000"/>
                <w:kern w:val="0"/>
                <w:sz w:val="26"/>
                <w:szCs w:val="26"/>
              </w:rPr>
              <w:t>10%</w:t>
            </w:r>
            <w:r w:rsidRPr="00DF4A85">
              <w:rPr>
                <w:rFonts w:ascii="Times New Roman" w:eastAsia="標楷體" w:hAnsi="Times New Roman" w:cs="Arial" w:hint="eastAsia"/>
                <w:color w:val="000000"/>
                <w:kern w:val="0"/>
                <w:sz w:val="26"/>
                <w:szCs w:val="26"/>
              </w:rPr>
              <w:t>。</w:t>
            </w:r>
          </w:p>
          <w:p w14:paraId="66D9A4DE" w14:textId="77777777" w:rsidR="005E5F3E" w:rsidRDefault="005E5F3E" w:rsidP="00C97469">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4A85">
              <w:rPr>
                <w:rFonts w:ascii="Times New Roman" w:eastAsia="標楷體" w:hAnsi="Times New Roman" w:cs="Arial" w:hint="eastAsia"/>
                <w:color w:val="000000"/>
                <w:kern w:val="0"/>
                <w:sz w:val="26"/>
                <w:szCs w:val="26"/>
              </w:rPr>
              <w:t>我國相較各國</w:t>
            </w:r>
            <w:r w:rsidRPr="00DF4A85">
              <w:rPr>
                <w:rFonts w:ascii="Times New Roman" w:eastAsia="標楷體" w:hAnsi="Times New Roman" w:cs="Arial" w:hint="eastAsia"/>
                <w:color w:val="000000"/>
                <w:kern w:val="0"/>
                <w:sz w:val="26"/>
                <w:szCs w:val="26"/>
              </w:rPr>
              <w:t>CFC</w:t>
            </w:r>
            <w:r w:rsidRPr="00DF4A85">
              <w:rPr>
                <w:rFonts w:ascii="Times New Roman" w:eastAsia="標楷體" w:hAnsi="Times New Roman" w:cs="Arial" w:hint="eastAsia"/>
                <w:color w:val="000000"/>
                <w:kern w:val="0"/>
                <w:sz w:val="26"/>
                <w:szCs w:val="26"/>
              </w:rPr>
              <w:t>制度規定，尚無較嚴格情形</w:t>
            </w:r>
          </w:p>
          <w:p w14:paraId="4696BA48" w14:textId="77777777" w:rsidR="005E5F3E" w:rsidRPr="00DF7EE3"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DF7EE3">
              <w:rPr>
                <w:rFonts w:ascii="Times New Roman" w:eastAsia="標楷體" w:hAnsi="Times New Roman" w:cs="Arial" w:hint="eastAsia"/>
                <w:color w:val="000000"/>
                <w:kern w:val="0"/>
                <w:sz w:val="26"/>
                <w:szCs w:val="26"/>
              </w:rPr>
              <w:t>我國於實施營利事業</w:t>
            </w:r>
            <w:r w:rsidRPr="00DF7EE3">
              <w:rPr>
                <w:rFonts w:ascii="Times New Roman" w:eastAsia="標楷體" w:hAnsi="Times New Roman" w:cs="Arial" w:hint="eastAsia"/>
                <w:color w:val="000000"/>
                <w:kern w:val="0"/>
                <w:sz w:val="26"/>
                <w:szCs w:val="26"/>
              </w:rPr>
              <w:t>CFC</w:t>
            </w:r>
            <w:r w:rsidRPr="00DF7EE3">
              <w:rPr>
                <w:rFonts w:ascii="Times New Roman" w:eastAsia="標楷體" w:hAnsi="Times New Roman" w:cs="Arial" w:hint="eastAsia"/>
                <w:color w:val="000000"/>
                <w:kern w:val="0"/>
                <w:sz w:val="26"/>
                <w:szCs w:val="26"/>
              </w:rPr>
              <w:t>制度前，業召開多場座談會蒐集各界意見、衡酌我國特殊政治背景、企業對外投資</w:t>
            </w:r>
            <w:proofErr w:type="gramStart"/>
            <w:r w:rsidRPr="00DF7EE3">
              <w:rPr>
                <w:rFonts w:ascii="Times New Roman" w:eastAsia="標楷體" w:hAnsi="Times New Roman" w:cs="Arial" w:hint="eastAsia"/>
                <w:color w:val="000000"/>
                <w:kern w:val="0"/>
                <w:sz w:val="26"/>
                <w:szCs w:val="26"/>
              </w:rPr>
              <w:t>態樣及各國</w:t>
            </w:r>
            <w:proofErr w:type="gramEnd"/>
            <w:r w:rsidRPr="00DF7EE3">
              <w:rPr>
                <w:rFonts w:ascii="Times New Roman" w:eastAsia="標楷體" w:hAnsi="Times New Roman" w:cs="Arial" w:hint="eastAsia"/>
                <w:color w:val="000000"/>
                <w:kern w:val="0"/>
                <w:sz w:val="26"/>
                <w:szCs w:val="26"/>
              </w:rPr>
              <w:t>CFC</w:t>
            </w:r>
            <w:r w:rsidRPr="00DF7EE3">
              <w:rPr>
                <w:rFonts w:ascii="Times New Roman" w:eastAsia="標楷體" w:hAnsi="Times New Roman" w:cs="Arial" w:hint="eastAsia"/>
                <w:color w:val="000000"/>
                <w:kern w:val="0"/>
                <w:sz w:val="26"/>
                <w:szCs w:val="26"/>
              </w:rPr>
              <w:t>制度立法例規劃我國制度，我國實質營運活動豁免規定之消極性收入占比門檻</w:t>
            </w:r>
            <w:r w:rsidRPr="00CE7987">
              <w:rPr>
                <w:rFonts w:ascii="Times New Roman" w:eastAsia="標楷體" w:hAnsi="Times New Roman" w:cs="Arial" w:hint="eastAsia"/>
                <w:color w:val="000000"/>
                <w:kern w:val="0"/>
                <w:sz w:val="26"/>
                <w:szCs w:val="26"/>
              </w:rPr>
              <w:t>（</w:t>
            </w:r>
            <w:r w:rsidRPr="00DF7EE3">
              <w:rPr>
                <w:rFonts w:ascii="Times New Roman" w:eastAsia="標楷體" w:hAnsi="Times New Roman" w:cs="Arial" w:hint="eastAsia"/>
                <w:color w:val="000000"/>
                <w:kern w:val="0"/>
                <w:sz w:val="26"/>
                <w:szCs w:val="26"/>
              </w:rPr>
              <w:t>10%</w:t>
            </w:r>
            <w:r w:rsidRPr="00CE7987">
              <w:rPr>
                <w:rFonts w:ascii="Times New Roman" w:eastAsia="標楷體" w:hAnsi="Times New Roman" w:cs="Arial" w:hint="eastAsia"/>
                <w:color w:val="000000"/>
                <w:kern w:val="0"/>
                <w:sz w:val="26"/>
                <w:szCs w:val="26"/>
              </w:rPr>
              <w:t>）</w:t>
            </w:r>
            <w:r w:rsidRPr="00DF7EE3">
              <w:rPr>
                <w:rFonts w:ascii="Times New Roman" w:eastAsia="標楷體" w:hAnsi="Times New Roman" w:cs="Arial" w:hint="eastAsia"/>
                <w:color w:val="000000"/>
                <w:kern w:val="0"/>
                <w:sz w:val="26"/>
                <w:szCs w:val="26"/>
              </w:rPr>
              <w:t>與他國規定</w:t>
            </w:r>
            <w:proofErr w:type="gramStart"/>
            <w:r w:rsidRPr="00CE7987">
              <w:rPr>
                <w:rFonts w:ascii="Times New Roman" w:eastAsia="標楷體" w:hAnsi="Times New Roman" w:cs="Arial" w:hint="eastAsia"/>
                <w:color w:val="000000"/>
                <w:kern w:val="0"/>
                <w:sz w:val="26"/>
                <w:szCs w:val="26"/>
              </w:rPr>
              <w:t>（</w:t>
            </w:r>
            <w:proofErr w:type="gramEnd"/>
            <w:r w:rsidRPr="00DF7EE3">
              <w:rPr>
                <w:rFonts w:ascii="Times New Roman" w:eastAsia="標楷體" w:hAnsi="Times New Roman" w:cs="Arial" w:hint="eastAsia"/>
                <w:color w:val="000000"/>
                <w:kern w:val="0"/>
                <w:sz w:val="26"/>
                <w:szCs w:val="26"/>
              </w:rPr>
              <w:t>如：澳大利亞</w:t>
            </w:r>
            <w:r w:rsidRPr="00DF7EE3">
              <w:rPr>
                <w:rFonts w:ascii="Times New Roman" w:eastAsia="標楷體" w:hAnsi="Times New Roman" w:cs="Arial" w:hint="eastAsia"/>
                <w:color w:val="000000"/>
                <w:kern w:val="0"/>
                <w:sz w:val="26"/>
                <w:szCs w:val="26"/>
              </w:rPr>
              <w:t>5%</w:t>
            </w:r>
            <w:r w:rsidRPr="00DF7EE3">
              <w:rPr>
                <w:rFonts w:ascii="Times New Roman" w:eastAsia="標楷體" w:hAnsi="Times New Roman" w:cs="Arial" w:hint="eastAsia"/>
                <w:color w:val="000000"/>
                <w:kern w:val="0"/>
                <w:sz w:val="26"/>
                <w:szCs w:val="26"/>
              </w:rPr>
              <w:t>、德國</w:t>
            </w:r>
            <w:r w:rsidRPr="00DF7EE3">
              <w:rPr>
                <w:rFonts w:ascii="Times New Roman" w:eastAsia="標楷體" w:hAnsi="Times New Roman" w:cs="Arial" w:hint="eastAsia"/>
                <w:color w:val="000000"/>
                <w:kern w:val="0"/>
                <w:sz w:val="26"/>
                <w:szCs w:val="26"/>
              </w:rPr>
              <w:t>10%</w:t>
            </w:r>
            <w:proofErr w:type="gramStart"/>
            <w:r w:rsidRPr="00CE7987">
              <w:rPr>
                <w:rFonts w:ascii="Times New Roman" w:eastAsia="標楷體" w:hAnsi="Times New Roman" w:cs="Arial" w:hint="eastAsia"/>
                <w:color w:val="000000"/>
                <w:kern w:val="0"/>
                <w:sz w:val="26"/>
                <w:szCs w:val="26"/>
              </w:rPr>
              <w:t>）</w:t>
            </w:r>
            <w:proofErr w:type="gramEnd"/>
            <w:r w:rsidRPr="00DF7EE3">
              <w:rPr>
                <w:rFonts w:ascii="Times New Roman" w:eastAsia="標楷體" w:hAnsi="Times New Roman" w:cs="Arial" w:hint="eastAsia"/>
                <w:color w:val="000000"/>
                <w:kern w:val="0"/>
                <w:sz w:val="26"/>
                <w:szCs w:val="26"/>
              </w:rPr>
              <w:t>相較，並無較嚴格情形。</w:t>
            </w:r>
          </w:p>
          <w:p w14:paraId="1F7529A2" w14:textId="77777777" w:rsidR="005E5F3E" w:rsidRPr="00ED4851" w:rsidRDefault="005E5F3E" w:rsidP="00C97469">
            <w:pPr>
              <w:pStyle w:val="ab"/>
              <w:numPr>
                <w:ilvl w:val="0"/>
                <w:numId w:val="7"/>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27464">
              <w:rPr>
                <w:rFonts w:ascii="Times New Roman" w:eastAsia="標楷體" w:hAnsi="Times New Roman" w:cs="Arial" w:hint="eastAsia"/>
                <w:color w:val="000000"/>
                <w:kern w:val="0"/>
                <w:sz w:val="26"/>
                <w:szCs w:val="26"/>
              </w:rPr>
              <w:t>所得稅法第</w:t>
            </w:r>
            <w:r w:rsidRPr="00527464">
              <w:rPr>
                <w:rFonts w:ascii="Times New Roman" w:eastAsia="標楷體" w:hAnsi="Times New Roman" w:cs="Arial" w:hint="eastAsia"/>
                <w:color w:val="000000"/>
                <w:kern w:val="0"/>
                <w:sz w:val="26"/>
                <w:szCs w:val="26"/>
              </w:rPr>
              <w:t>43</w:t>
            </w:r>
            <w:r w:rsidRPr="00527464">
              <w:rPr>
                <w:rFonts w:ascii="Times New Roman" w:eastAsia="標楷體" w:hAnsi="Times New Roman" w:cs="Arial" w:hint="eastAsia"/>
                <w:color w:val="000000"/>
                <w:kern w:val="0"/>
                <w:sz w:val="26"/>
                <w:szCs w:val="26"/>
              </w:rPr>
              <w:t>條之</w:t>
            </w:r>
            <w:r w:rsidRPr="00527464">
              <w:rPr>
                <w:rFonts w:ascii="Times New Roman" w:eastAsia="標楷體" w:hAnsi="Times New Roman" w:cs="Arial" w:hint="eastAsia"/>
                <w:color w:val="000000"/>
                <w:kern w:val="0"/>
                <w:sz w:val="26"/>
                <w:szCs w:val="26"/>
              </w:rPr>
              <w:t>3</w:t>
            </w:r>
            <w:r w:rsidRPr="00527464">
              <w:rPr>
                <w:rFonts w:ascii="Times New Roman" w:eastAsia="標楷體" w:hAnsi="Times New Roman" w:cs="Arial" w:hint="eastAsia"/>
                <w:color w:val="000000"/>
                <w:kern w:val="0"/>
                <w:sz w:val="26"/>
                <w:szCs w:val="26"/>
              </w:rPr>
              <w:t>；營利事業</w:t>
            </w:r>
            <w:proofErr w:type="gramStart"/>
            <w:r w:rsidRPr="00527464">
              <w:rPr>
                <w:rFonts w:ascii="Times New Roman" w:eastAsia="標楷體" w:hAnsi="Times New Roman" w:cs="Arial" w:hint="eastAsia"/>
                <w:color w:val="000000"/>
                <w:kern w:val="0"/>
                <w:sz w:val="26"/>
                <w:szCs w:val="26"/>
              </w:rPr>
              <w:t>認列受控</w:t>
            </w:r>
            <w:proofErr w:type="gramEnd"/>
            <w:r w:rsidRPr="00527464">
              <w:rPr>
                <w:rFonts w:ascii="Times New Roman" w:eastAsia="標楷體" w:hAnsi="Times New Roman" w:cs="Arial" w:hint="eastAsia"/>
                <w:color w:val="000000"/>
                <w:kern w:val="0"/>
                <w:sz w:val="26"/>
                <w:szCs w:val="26"/>
              </w:rPr>
              <w:t>外國企業所得適用辦法第</w:t>
            </w:r>
            <w:r w:rsidRPr="00527464">
              <w:rPr>
                <w:rFonts w:ascii="Times New Roman" w:eastAsia="標楷體" w:hAnsi="Times New Roman" w:cs="Arial" w:hint="eastAsia"/>
                <w:color w:val="000000"/>
                <w:kern w:val="0"/>
                <w:sz w:val="26"/>
                <w:szCs w:val="26"/>
              </w:rPr>
              <w:t>5</w:t>
            </w:r>
            <w:r w:rsidRPr="00527464">
              <w:rPr>
                <w:rFonts w:ascii="Times New Roman" w:eastAsia="標楷體" w:hAnsi="Times New Roman" w:cs="Arial" w:hint="eastAsia"/>
                <w:color w:val="000000"/>
                <w:kern w:val="0"/>
                <w:sz w:val="26"/>
                <w:szCs w:val="26"/>
              </w:rPr>
              <w:t>條</w:t>
            </w:r>
          </w:p>
        </w:tc>
        <w:tc>
          <w:tcPr>
            <w:tcW w:w="1417" w:type="dxa"/>
            <w:noWrap/>
          </w:tcPr>
          <w:p w14:paraId="6CCAFEA5"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5468910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4297F521"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69423914"/>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5AA3D01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23216393"/>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59742CFF"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635295364"/>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3F0D91C3" w14:textId="77777777" w:rsidTr="00C97469">
        <w:tc>
          <w:tcPr>
            <w:tcW w:w="1418" w:type="dxa"/>
            <w:vMerge w:val="restart"/>
            <w:shd w:val="clear" w:color="FFFFFF" w:fill="FFFFFF"/>
            <w:hideMark/>
          </w:tcPr>
          <w:p w14:paraId="673FA4A9" w14:textId="77777777" w:rsidR="005E5F3E" w:rsidRPr="00ED4851"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五、檢視土</w:t>
            </w:r>
            <w:r w:rsidRPr="00ED4851">
              <w:rPr>
                <w:rFonts w:ascii="Times New Roman" w:eastAsia="標楷體" w:hAnsi="Times New Roman" w:cs="Arial" w:hint="eastAsia"/>
                <w:b/>
                <w:bCs/>
                <w:color w:val="000000"/>
                <w:kern w:val="0"/>
                <w:sz w:val="26"/>
                <w:szCs w:val="28"/>
              </w:rPr>
              <w:lastRenderedPageBreak/>
              <w:t>地相關稅捐徵納之合理性</w:t>
            </w:r>
          </w:p>
        </w:tc>
        <w:tc>
          <w:tcPr>
            <w:tcW w:w="3402" w:type="dxa"/>
            <w:hideMark/>
          </w:tcPr>
          <w:p w14:paraId="0F9CD804"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lastRenderedPageBreak/>
              <w:t>(</w:t>
            </w:r>
            <w:proofErr w:type="gramStart"/>
            <w:r w:rsidRPr="00011B19">
              <w:rPr>
                <w:rFonts w:ascii="Times New Roman" w:eastAsia="標楷體" w:hAnsi="Times New Roman" w:cs="Arial"/>
                <w:b/>
                <w:bCs/>
                <w:color w:val="000000"/>
                <w:kern w:val="0"/>
                <w:sz w:val="26"/>
                <w:szCs w:val="28"/>
              </w:rPr>
              <w:t>一</w:t>
            </w:r>
            <w:proofErr w:type="gramEnd"/>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建請修正《房地合一課徵</w:t>
            </w:r>
            <w:r w:rsidRPr="00011B19">
              <w:rPr>
                <w:rFonts w:ascii="Times New Roman" w:eastAsia="標楷體" w:hAnsi="Times New Roman" w:cs="Arial"/>
                <w:b/>
                <w:bCs/>
                <w:color w:val="000000"/>
                <w:kern w:val="0"/>
                <w:sz w:val="26"/>
                <w:szCs w:val="28"/>
              </w:rPr>
              <w:lastRenderedPageBreak/>
              <w:t>所得稅申報作業要點》第</w:t>
            </w:r>
            <w:r w:rsidRPr="00011B19">
              <w:rPr>
                <w:rFonts w:ascii="Times New Roman" w:eastAsia="標楷體" w:hAnsi="Times New Roman" w:cs="Arial"/>
                <w:b/>
                <w:bCs/>
                <w:color w:val="000000"/>
                <w:kern w:val="0"/>
                <w:sz w:val="26"/>
                <w:szCs w:val="28"/>
              </w:rPr>
              <w:t>6</w:t>
            </w:r>
            <w:r w:rsidRPr="00011B19">
              <w:rPr>
                <w:rFonts w:ascii="Times New Roman" w:eastAsia="標楷體" w:hAnsi="Times New Roman" w:cs="Arial"/>
                <w:b/>
                <w:bCs/>
                <w:color w:val="000000"/>
                <w:kern w:val="0"/>
                <w:sz w:val="26"/>
                <w:szCs w:val="28"/>
              </w:rPr>
              <w:t>點，房地合一</w:t>
            </w:r>
            <w:r w:rsidRPr="00011B19">
              <w:rPr>
                <w:rFonts w:ascii="Times New Roman" w:eastAsia="標楷體" w:hAnsi="Times New Roman" w:cs="Arial"/>
                <w:b/>
                <w:bCs/>
                <w:color w:val="000000"/>
                <w:kern w:val="0"/>
                <w:sz w:val="26"/>
                <w:szCs w:val="28"/>
              </w:rPr>
              <w:t>2.0</w:t>
            </w:r>
            <w:r w:rsidRPr="00011B19">
              <w:rPr>
                <w:rFonts w:ascii="Times New Roman" w:eastAsia="標楷體" w:hAnsi="Times New Roman" w:cs="Arial"/>
                <w:b/>
                <w:bCs/>
                <w:color w:val="000000"/>
                <w:kern w:val="0"/>
                <w:sz w:val="26"/>
                <w:szCs w:val="28"/>
              </w:rPr>
              <w:t>下之股權交易，應排除標的公司於</w:t>
            </w:r>
            <w:r>
              <w:rPr>
                <w:rFonts w:ascii="Times New Roman" w:eastAsia="標楷體" w:hAnsi="Times New Roman" w:cs="Arial"/>
                <w:b/>
                <w:bCs/>
                <w:color w:val="000000"/>
                <w:kern w:val="0"/>
                <w:sz w:val="26"/>
                <w:szCs w:val="28"/>
              </w:rPr>
              <w:t>2015</w:t>
            </w:r>
            <w:r w:rsidRPr="00011B19">
              <w:rPr>
                <w:rFonts w:ascii="Times New Roman" w:eastAsia="標楷體" w:hAnsi="Times New Roman" w:cs="Arial"/>
                <w:b/>
                <w:bCs/>
                <w:color w:val="000000"/>
                <w:kern w:val="0"/>
                <w:sz w:val="26"/>
                <w:szCs w:val="28"/>
              </w:rPr>
              <w:t>年</w:t>
            </w:r>
            <w:r w:rsidRPr="00011B19">
              <w:rPr>
                <w:rFonts w:ascii="Times New Roman" w:eastAsia="標楷體" w:hAnsi="Times New Roman" w:cs="Arial"/>
                <w:b/>
                <w:bCs/>
                <w:color w:val="000000"/>
                <w:kern w:val="0"/>
                <w:sz w:val="26"/>
                <w:szCs w:val="28"/>
              </w:rPr>
              <w:t>12</w:t>
            </w:r>
            <w:r w:rsidRPr="00011B19">
              <w:rPr>
                <w:rFonts w:ascii="Times New Roman" w:eastAsia="標楷體" w:hAnsi="Times New Roman" w:cs="Arial"/>
                <w:b/>
                <w:bCs/>
                <w:color w:val="000000"/>
                <w:kern w:val="0"/>
                <w:sz w:val="26"/>
                <w:szCs w:val="28"/>
              </w:rPr>
              <w:t>月</w:t>
            </w:r>
            <w:r w:rsidRPr="00011B19">
              <w:rPr>
                <w:rFonts w:ascii="Times New Roman" w:eastAsia="標楷體" w:hAnsi="Times New Roman" w:cs="Arial"/>
                <w:b/>
                <w:bCs/>
                <w:color w:val="000000"/>
                <w:kern w:val="0"/>
                <w:sz w:val="26"/>
                <w:szCs w:val="28"/>
              </w:rPr>
              <w:t>31</w:t>
            </w:r>
            <w:r w:rsidRPr="00011B19">
              <w:rPr>
                <w:rFonts w:ascii="Times New Roman" w:eastAsia="標楷體" w:hAnsi="Times New Roman" w:cs="Arial"/>
                <w:b/>
                <w:bCs/>
                <w:color w:val="000000"/>
                <w:kern w:val="0"/>
                <w:sz w:val="26"/>
                <w:szCs w:val="28"/>
              </w:rPr>
              <w:t>日前已取得之房地，以利企業</w:t>
            </w:r>
            <w:r w:rsidRPr="00011B19">
              <w:rPr>
                <w:rFonts w:ascii="Times New Roman" w:eastAsia="標楷體" w:hAnsi="Times New Roman" w:cs="Arial"/>
                <w:b/>
                <w:bCs/>
                <w:color w:val="000000"/>
                <w:kern w:val="0"/>
                <w:sz w:val="26"/>
                <w:szCs w:val="28"/>
              </w:rPr>
              <w:t>IPO</w:t>
            </w:r>
            <w:r w:rsidRPr="00011B19">
              <w:rPr>
                <w:rFonts w:ascii="Times New Roman" w:eastAsia="標楷體" w:hAnsi="Times New Roman" w:cs="Arial"/>
                <w:b/>
                <w:bCs/>
                <w:color w:val="000000"/>
                <w:kern w:val="0"/>
                <w:sz w:val="26"/>
                <w:szCs w:val="28"/>
              </w:rPr>
              <w:t>及永續經營傳承。</w:t>
            </w:r>
          </w:p>
        </w:tc>
        <w:tc>
          <w:tcPr>
            <w:tcW w:w="709" w:type="dxa"/>
            <w:hideMark/>
          </w:tcPr>
          <w:p w14:paraId="0F17C528"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lastRenderedPageBreak/>
              <w:sym w:font="Wingdings 2" w:char="F052"/>
            </w:r>
          </w:p>
        </w:tc>
        <w:tc>
          <w:tcPr>
            <w:tcW w:w="9214" w:type="dxa"/>
            <w:hideMark/>
          </w:tcPr>
          <w:p w14:paraId="1DF34FBF" w14:textId="77777777" w:rsidR="005E5F3E" w:rsidRPr="005E68AA"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5E68AA">
              <w:rPr>
                <w:rFonts w:ascii="Times New Roman" w:eastAsia="標楷體" w:hAnsi="Times New Roman" w:cs="Arial" w:hint="eastAsia"/>
                <w:b/>
                <w:bCs/>
                <w:color w:val="000000"/>
                <w:kern w:val="0"/>
                <w:sz w:val="26"/>
                <w:szCs w:val="28"/>
              </w:rPr>
              <w:t>財政部</w:t>
            </w:r>
          </w:p>
          <w:p w14:paraId="1A471F6A" w14:textId="77777777" w:rsidR="005E5F3E" w:rsidRDefault="005E5F3E" w:rsidP="00C97469">
            <w:pPr>
              <w:pStyle w:val="ab"/>
              <w:numPr>
                <w:ilvl w:val="0"/>
                <w:numId w:val="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lastRenderedPageBreak/>
              <w:t>目前進度及未來規劃</w:t>
            </w:r>
          </w:p>
          <w:p w14:paraId="358CF4DC" w14:textId="77777777" w:rsidR="005E5F3E" w:rsidRPr="005E68AA" w:rsidRDefault="005E5F3E" w:rsidP="00C97469">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E68AA">
              <w:rPr>
                <w:rFonts w:ascii="Times New Roman" w:eastAsia="標楷體" w:hAnsi="Times New Roman" w:cs="Arial" w:hint="eastAsia"/>
                <w:color w:val="000000"/>
                <w:kern w:val="0"/>
                <w:sz w:val="26"/>
                <w:szCs w:val="26"/>
              </w:rPr>
              <w:t>為防杜個人及營利事業藉由移轉股權形式，實質轉讓我國境內不動產，將應課徵所得稅之房地交易所得轉換為免稅證券交易所得，參酌</w:t>
            </w:r>
            <w:r w:rsidRPr="005E68AA">
              <w:rPr>
                <w:rFonts w:ascii="Times New Roman" w:eastAsia="標楷體" w:hAnsi="Times New Roman" w:cs="Arial" w:hint="eastAsia"/>
                <w:color w:val="000000"/>
                <w:kern w:val="0"/>
                <w:sz w:val="26"/>
                <w:szCs w:val="26"/>
              </w:rPr>
              <w:t>OECD</w:t>
            </w:r>
            <w:r w:rsidRPr="005E68AA">
              <w:rPr>
                <w:rFonts w:ascii="Times New Roman" w:eastAsia="標楷體" w:hAnsi="Times New Roman" w:cs="Arial" w:hint="eastAsia"/>
                <w:color w:val="000000"/>
                <w:kern w:val="0"/>
                <w:sz w:val="26"/>
                <w:szCs w:val="26"/>
              </w:rPr>
              <w:t>及聯合國</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UN</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稅約範本第</w:t>
            </w:r>
            <w:r w:rsidRPr="005E68AA">
              <w:rPr>
                <w:rFonts w:ascii="Times New Roman" w:eastAsia="標楷體" w:hAnsi="Times New Roman" w:cs="Arial" w:hint="eastAsia"/>
                <w:color w:val="000000"/>
                <w:kern w:val="0"/>
                <w:sz w:val="26"/>
                <w:szCs w:val="26"/>
              </w:rPr>
              <w:t>13</w:t>
            </w:r>
            <w:r w:rsidRPr="005E68AA">
              <w:rPr>
                <w:rFonts w:ascii="Times New Roman" w:eastAsia="標楷體" w:hAnsi="Times New Roman" w:cs="Arial" w:hint="eastAsia"/>
                <w:color w:val="000000"/>
                <w:kern w:val="0"/>
                <w:sz w:val="26"/>
                <w:szCs w:val="26"/>
              </w:rPr>
              <w:t>條等間接移轉資產課稅規定，</w:t>
            </w:r>
            <w:r w:rsidRPr="005E68AA">
              <w:rPr>
                <w:rFonts w:ascii="Times New Roman" w:eastAsia="標楷體" w:hAnsi="Times New Roman" w:cs="Arial" w:hint="eastAsia"/>
                <w:color w:val="000000"/>
                <w:kern w:val="0"/>
                <w:sz w:val="26"/>
                <w:szCs w:val="26"/>
              </w:rPr>
              <w:t>2021</w:t>
            </w:r>
            <w:r w:rsidRPr="005E68AA">
              <w:rPr>
                <w:rFonts w:ascii="Times New Roman" w:eastAsia="標楷體" w:hAnsi="Times New Roman" w:cs="Arial" w:hint="eastAsia"/>
                <w:color w:val="000000"/>
                <w:kern w:val="0"/>
                <w:sz w:val="26"/>
                <w:szCs w:val="26"/>
              </w:rPr>
              <w:t>年</w:t>
            </w:r>
            <w:r w:rsidRPr="005E68AA">
              <w:rPr>
                <w:rFonts w:ascii="Times New Roman" w:eastAsia="標楷體" w:hAnsi="Times New Roman" w:cs="Arial" w:hint="eastAsia"/>
                <w:color w:val="000000"/>
                <w:kern w:val="0"/>
                <w:sz w:val="26"/>
                <w:szCs w:val="26"/>
              </w:rPr>
              <w:t>4</w:t>
            </w:r>
            <w:r w:rsidRPr="005E68AA">
              <w:rPr>
                <w:rFonts w:ascii="Times New Roman" w:eastAsia="標楷體" w:hAnsi="Times New Roman" w:cs="Arial" w:hint="eastAsia"/>
                <w:color w:val="000000"/>
                <w:kern w:val="0"/>
                <w:sz w:val="26"/>
                <w:szCs w:val="26"/>
              </w:rPr>
              <w:t>月</w:t>
            </w:r>
            <w:r w:rsidRPr="005E68AA">
              <w:rPr>
                <w:rFonts w:ascii="Times New Roman" w:eastAsia="標楷體" w:hAnsi="Times New Roman" w:cs="Arial" w:hint="eastAsia"/>
                <w:color w:val="000000"/>
                <w:kern w:val="0"/>
                <w:sz w:val="26"/>
                <w:szCs w:val="26"/>
              </w:rPr>
              <w:t>28</w:t>
            </w:r>
            <w:r w:rsidRPr="005E68AA">
              <w:rPr>
                <w:rFonts w:ascii="Times New Roman" w:eastAsia="標楷體" w:hAnsi="Times New Roman" w:cs="Arial" w:hint="eastAsia"/>
                <w:color w:val="000000"/>
                <w:kern w:val="0"/>
                <w:sz w:val="26"/>
                <w:szCs w:val="26"/>
              </w:rPr>
              <w:t>日修正公布所得稅法</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下稱房地合一所得稅制</w:t>
            </w:r>
            <w:r w:rsidRPr="005E68AA">
              <w:rPr>
                <w:rFonts w:ascii="Times New Roman" w:eastAsia="標楷體" w:hAnsi="Times New Roman" w:cs="Arial" w:hint="eastAsia"/>
                <w:color w:val="000000"/>
                <w:kern w:val="0"/>
                <w:sz w:val="26"/>
                <w:szCs w:val="26"/>
              </w:rPr>
              <w:t>2.0</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，增訂第</w:t>
            </w:r>
            <w:r w:rsidRPr="005E68AA">
              <w:rPr>
                <w:rFonts w:ascii="Times New Roman" w:eastAsia="標楷體" w:hAnsi="Times New Roman" w:cs="Arial" w:hint="eastAsia"/>
                <w:color w:val="000000"/>
                <w:kern w:val="0"/>
                <w:sz w:val="26"/>
                <w:szCs w:val="26"/>
              </w:rPr>
              <w:t>4</w:t>
            </w:r>
            <w:r w:rsidRPr="005E68AA">
              <w:rPr>
                <w:rFonts w:ascii="Times New Roman" w:eastAsia="標楷體" w:hAnsi="Times New Roman" w:cs="Arial" w:hint="eastAsia"/>
                <w:color w:val="000000"/>
                <w:kern w:val="0"/>
                <w:sz w:val="26"/>
                <w:szCs w:val="26"/>
              </w:rPr>
              <w:t>條之</w:t>
            </w:r>
            <w:r w:rsidRPr="005E68AA">
              <w:rPr>
                <w:rFonts w:ascii="Times New Roman" w:eastAsia="標楷體" w:hAnsi="Times New Roman" w:cs="Arial" w:hint="eastAsia"/>
                <w:color w:val="000000"/>
                <w:kern w:val="0"/>
                <w:sz w:val="26"/>
                <w:szCs w:val="26"/>
              </w:rPr>
              <w:t>4</w:t>
            </w:r>
            <w:r w:rsidRPr="005E68AA">
              <w:rPr>
                <w:rFonts w:ascii="Times New Roman" w:eastAsia="標楷體" w:hAnsi="Times New Roman" w:cs="Arial" w:hint="eastAsia"/>
                <w:color w:val="000000"/>
                <w:kern w:val="0"/>
                <w:sz w:val="26"/>
                <w:szCs w:val="26"/>
              </w:rPr>
              <w:t>第</w:t>
            </w:r>
            <w:r w:rsidRPr="005E68AA">
              <w:rPr>
                <w:rFonts w:ascii="Times New Roman" w:eastAsia="標楷體" w:hAnsi="Times New Roman" w:cs="Arial" w:hint="eastAsia"/>
                <w:color w:val="000000"/>
                <w:kern w:val="0"/>
                <w:sz w:val="26"/>
                <w:szCs w:val="26"/>
              </w:rPr>
              <w:t>3</w:t>
            </w:r>
            <w:r w:rsidRPr="005E68AA">
              <w:rPr>
                <w:rFonts w:ascii="Times New Roman" w:eastAsia="標楷體" w:hAnsi="Times New Roman" w:cs="Arial" w:hint="eastAsia"/>
                <w:color w:val="000000"/>
                <w:kern w:val="0"/>
                <w:sz w:val="26"/>
                <w:szCs w:val="26"/>
              </w:rPr>
              <w:t>項規定，個人及營利事業交易同時符合下列條件且非屬上市</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櫃</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公司股份或出資額</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下稱股權</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，應視同房屋、土地</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下稱房地</w:t>
            </w:r>
            <w:r w:rsidRPr="00CE7987">
              <w:rPr>
                <w:rFonts w:ascii="Times New Roman" w:eastAsia="標楷體" w:hAnsi="Times New Roman" w:cs="Arial" w:hint="eastAsia"/>
                <w:color w:val="000000"/>
                <w:kern w:val="0"/>
                <w:sz w:val="26"/>
                <w:szCs w:val="26"/>
              </w:rPr>
              <w:t>）</w:t>
            </w:r>
            <w:r w:rsidRPr="005E68AA">
              <w:rPr>
                <w:rFonts w:ascii="Times New Roman" w:eastAsia="標楷體" w:hAnsi="Times New Roman" w:cs="Arial" w:hint="eastAsia"/>
                <w:color w:val="000000"/>
                <w:kern w:val="0"/>
                <w:sz w:val="26"/>
                <w:szCs w:val="26"/>
              </w:rPr>
              <w:t>交易，課徵房地合一所得稅：</w:t>
            </w:r>
          </w:p>
          <w:p w14:paraId="7B9A5D1B" w14:textId="77777777" w:rsidR="005E5F3E" w:rsidRPr="005E68AA"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E68AA">
              <w:rPr>
                <w:rFonts w:ascii="Times New Roman" w:eastAsia="標楷體" w:hAnsi="Times New Roman" w:cs="Arial" w:hint="eastAsia"/>
                <w:color w:val="000000"/>
                <w:kern w:val="0"/>
                <w:sz w:val="26"/>
                <w:szCs w:val="26"/>
              </w:rPr>
              <w:t>A.</w:t>
            </w:r>
            <w:r w:rsidRPr="005E68AA">
              <w:rPr>
                <w:rFonts w:ascii="Times New Roman" w:eastAsia="標楷體" w:hAnsi="Times New Roman" w:cs="Arial" w:hint="eastAsia"/>
                <w:color w:val="000000"/>
                <w:kern w:val="0"/>
                <w:sz w:val="26"/>
                <w:szCs w:val="26"/>
              </w:rPr>
              <w:t>交易人直接或間接持有被投資事業股權超過</w:t>
            </w:r>
            <w:r w:rsidRPr="005E68AA">
              <w:rPr>
                <w:rFonts w:ascii="Times New Roman" w:eastAsia="標楷體" w:hAnsi="Times New Roman" w:cs="Arial" w:hint="eastAsia"/>
                <w:color w:val="000000"/>
                <w:kern w:val="0"/>
                <w:sz w:val="26"/>
                <w:szCs w:val="26"/>
              </w:rPr>
              <w:t>50%</w:t>
            </w:r>
            <w:r w:rsidRPr="005E68AA">
              <w:rPr>
                <w:rFonts w:ascii="Times New Roman" w:eastAsia="標楷體" w:hAnsi="Times New Roman" w:cs="Arial" w:hint="eastAsia"/>
                <w:color w:val="000000"/>
                <w:kern w:val="0"/>
                <w:sz w:val="26"/>
                <w:szCs w:val="26"/>
              </w:rPr>
              <w:t>。</w:t>
            </w:r>
          </w:p>
          <w:p w14:paraId="6BF2D60F" w14:textId="77777777" w:rsidR="005E5F3E" w:rsidRPr="005E68AA" w:rsidRDefault="005E5F3E"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E68AA">
              <w:rPr>
                <w:rFonts w:ascii="Times New Roman" w:eastAsia="標楷體" w:hAnsi="Times New Roman" w:cs="Arial" w:hint="eastAsia"/>
                <w:color w:val="000000"/>
                <w:kern w:val="0"/>
                <w:sz w:val="26"/>
                <w:szCs w:val="26"/>
              </w:rPr>
              <w:t>B.</w:t>
            </w:r>
            <w:r w:rsidRPr="005E68AA">
              <w:rPr>
                <w:rFonts w:ascii="Times New Roman" w:eastAsia="標楷體" w:hAnsi="Times New Roman" w:cs="Arial" w:hint="eastAsia"/>
                <w:color w:val="000000"/>
                <w:kern w:val="0"/>
                <w:sz w:val="26"/>
                <w:szCs w:val="26"/>
              </w:rPr>
              <w:t>被投資事業股權價值</w:t>
            </w:r>
            <w:r w:rsidRPr="005E68AA">
              <w:rPr>
                <w:rFonts w:ascii="Times New Roman" w:eastAsia="標楷體" w:hAnsi="Times New Roman" w:cs="Arial" w:hint="eastAsia"/>
                <w:color w:val="000000"/>
                <w:kern w:val="0"/>
                <w:sz w:val="26"/>
                <w:szCs w:val="26"/>
              </w:rPr>
              <w:t>50%</w:t>
            </w:r>
            <w:r w:rsidRPr="005E68AA">
              <w:rPr>
                <w:rFonts w:ascii="Times New Roman" w:eastAsia="標楷體" w:hAnsi="Times New Roman" w:cs="Arial" w:hint="eastAsia"/>
                <w:color w:val="000000"/>
                <w:kern w:val="0"/>
                <w:sz w:val="26"/>
                <w:szCs w:val="26"/>
              </w:rPr>
              <w:t>以上係由我國境內房地所構成。</w:t>
            </w:r>
          </w:p>
          <w:p w14:paraId="5E0AE406" w14:textId="77777777" w:rsidR="005E5F3E" w:rsidRDefault="005E5F3E" w:rsidP="00C97469">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5E68AA">
              <w:rPr>
                <w:rFonts w:ascii="Times New Roman" w:eastAsia="標楷體" w:hAnsi="Times New Roman" w:cs="Arial" w:hint="eastAsia"/>
                <w:color w:val="000000"/>
                <w:kern w:val="0"/>
                <w:sz w:val="26"/>
                <w:szCs w:val="26"/>
              </w:rPr>
              <w:t>刻參據</w:t>
            </w:r>
            <w:proofErr w:type="gramEnd"/>
            <w:r w:rsidRPr="005E68AA">
              <w:rPr>
                <w:rFonts w:ascii="Times New Roman" w:eastAsia="標楷體" w:hAnsi="Times New Roman" w:cs="Arial" w:hint="eastAsia"/>
                <w:color w:val="000000"/>
                <w:kern w:val="0"/>
                <w:sz w:val="26"/>
                <w:szCs w:val="26"/>
              </w:rPr>
              <w:t>多方意見，</w:t>
            </w:r>
            <w:proofErr w:type="gramStart"/>
            <w:r w:rsidRPr="005E68AA">
              <w:rPr>
                <w:rFonts w:ascii="Times New Roman" w:eastAsia="標楷體" w:hAnsi="Times New Roman" w:cs="Arial" w:hint="eastAsia"/>
                <w:color w:val="000000"/>
                <w:kern w:val="0"/>
                <w:sz w:val="26"/>
                <w:szCs w:val="26"/>
              </w:rPr>
              <w:t>研</w:t>
            </w:r>
            <w:proofErr w:type="gramEnd"/>
            <w:r w:rsidRPr="005E68AA">
              <w:rPr>
                <w:rFonts w:ascii="Times New Roman" w:eastAsia="標楷體" w:hAnsi="Times New Roman" w:cs="Arial" w:hint="eastAsia"/>
                <w:color w:val="000000"/>
                <w:kern w:val="0"/>
                <w:sz w:val="26"/>
                <w:szCs w:val="26"/>
              </w:rPr>
              <w:t>議修正上開認定要件之必要性及合理性</w:t>
            </w:r>
          </w:p>
          <w:p w14:paraId="62DAADA4" w14:textId="77777777" w:rsidR="005E5F3E" w:rsidRPr="00AA7013"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AA7013">
              <w:rPr>
                <w:rFonts w:ascii="Times New Roman" w:eastAsia="標楷體" w:hAnsi="Times New Roman" w:cs="Arial" w:hint="eastAsia"/>
                <w:color w:val="000000"/>
                <w:kern w:val="0"/>
                <w:sz w:val="26"/>
                <w:szCs w:val="26"/>
              </w:rPr>
              <w:t>有關建議修正「房地合一課徵所得稅申報作業要點」第</w:t>
            </w:r>
            <w:r w:rsidRPr="00AA7013">
              <w:rPr>
                <w:rFonts w:ascii="Times New Roman" w:eastAsia="標楷體" w:hAnsi="Times New Roman" w:cs="Arial" w:hint="eastAsia"/>
                <w:color w:val="000000"/>
                <w:kern w:val="0"/>
                <w:sz w:val="26"/>
                <w:szCs w:val="26"/>
              </w:rPr>
              <w:t>6</w:t>
            </w:r>
            <w:r w:rsidRPr="00AA7013">
              <w:rPr>
                <w:rFonts w:ascii="Times New Roman" w:eastAsia="標楷體" w:hAnsi="Times New Roman" w:cs="Arial" w:hint="eastAsia"/>
                <w:color w:val="000000"/>
                <w:kern w:val="0"/>
                <w:sz w:val="26"/>
                <w:szCs w:val="26"/>
              </w:rPr>
              <w:t>點，上開適用房地合一所得稅制</w:t>
            </w:r>
            <w:r w:rsidRPr="00AA7013">
              <w:rPr>
                <w:rFonts w:ascii="Times New Roman" w:eastAsia="標楷體" w:hAnsi="Times New Roman" w:cs="Arial" w:hint="eastAsia"/>
                <w:color w:val="000000"/>
                <w:kern w:val="0"/>
                <w:sz w:val="26"/>
                <w:szCs w:val="26"/>
              </w:rPr>
              <w:t>2.0</w:t>
            </w:r>
            <w:r w:rsidRPr="00AA7013">
              <w:rPr>
                <w:rFonts w:ascii="Times New Roman" w:eastAsia="標楷體" w:hAnsi="Times New Roman" w:cs="Arial" w:hint="eastAsia"/>
                <w:color w:val="000000"/>
                <w:kern w:val="0"/>
                <w:sz w:val="26"/>
                <w:szCs w:val="26"/>
              </w:rPr>
              <w:t>之股權交易，是否應排除標的公司於</w:t>
            </w:r>
            <w:r w:rsidRPr="00AA7013">
              <w:rPr>
                <w:rFonts w:ascii="Times New Roman" w:eastAsia="標楷體" w:hAnsi="Times New Roman" w:cs="Arial" w:hint="eastAsia"/>
                <w:color w:val="000000"/>
                <w:kern w:val="0"/>
                <w:sz w:val="26"/>
                <w:szCs w:val="26"/>
              </w:rPr>
              <w:t>2015</w:t>
            </w:r>
            <w:r w:rsidRPr="00AA7013">
              <w:rPr>
                <w:rFonts w:ascii="Times New Roman" w:eastAsia="標楷體" w:hAnsi="Times New Roman" w:cs="Arial" w:hint="eastAsia"/>
                <w:color w:val="000000"/>
                <w:kern w:val="0"/>
                <w:sz w:val="26"/>
                <w:szCs w:val="26"/>
              </w:rPr>
              <w:t>年</w:t>
            </w:r>
            <w:r w:rsidRPr="00AA7013">
              <w:rPr>
                <w:rFonts w:ascii="Times New Roman" w:eastAsia="標楷體" w:hAnsi="Times New Roman" w:cs="Arial" w:hint="eastAsia"/>
                <w:color w:val="000000"/>
                <w:kern w:val="0"/>
                <w:sz w:val="26"/>
                <w:szCs w:val="26"/>
              </w:rPr>
              <w:t>12</w:t>
            </w:r>
            <w:r w:rsidRPr="00AA7013">
              <w:rPr>
                <w:rFonts w:ascii="Times New Roman" w:eastAsia="標楷體" w:hAnsi="Times New Roman" w:cs="Arial" w:hint="eastAsia"/>
                <w:color w:val="000000"/>
                <w:kern w:val="0"/>
                <w:sz w:val="26"/>
                <w:szCs w:val="26"/>
              </w:rPr>
              <w:t>月</w:t>
            </w:r>
            <w:r w:rsidRPr="00AA7013">
              <w:rPr>
                <w:rFonts w:ascii="Times New Roman" w:eastAsia="標楷體" w:hAnsi="Times New Roman" w:cs="Arial" w:hint="eastAsia"/>
                <w:color w:val="000000"/>
                <w:kern w:val="0"/>
                <w:sz w:val="26"/>
                <w:szCs w:val="26"/>
              </w:rPr>
              <w:t>31</w:t>
            </w:r>
            <w:r w:rsidRPr="00AA7013">
              <w:rPr>
                <w:rFonts w:ascii="Times New Roman" w:eastAsia="標楷體" w:hAnsi="Times New Roman" w:cs="Arial" w:hint="eastAsia"/>
                <w:color w:val="000000"/>
                <w:kern w:val="0"/>
                <w:sz w:val="26"/>
                <w:szCs w:val="26"/>
              </w:rPr>
              <w:t>日前已取得房地，以利企業首次公開發行</w:t>
            </w:r>
            <w:r w:rsidRPr="00CE7987">
              <w:rPr>
                <w:rFonts w:ascii="Times New Roman" w:eastAsia="標楷體" w:hAnsi="Times New Roman" w:cs="Arial" w:hint="eastAsia"/>
                <w:color w:val="000000"/>
                <w:kern w:val="0"/>
                <w:sz w:val="26"/>
                <w:szCs w:val="26"/>
              </w:rPr>
              <w:t>（</w:t>
            </w:r>
            <w:r w:rsidRPr="00AA7013">
              <w:rPr>
                <w:rFonts w:ascii="Times New Roman" w:eastAsia="標楷體" w:hAnsi="Times New Roman" w:cs="Arial" w:hint="eastAsia"/>
                <w:color w:val="000000"/>
                <w:kern w:val="0"/>
                <w:sz w:val="26"/>
                <w:szCs w:val="26"/>
              </w:rPr>
              <w:t>IPO</w:t>
            </w:r>
            <w:r w:rsidRPr="00CE7987">
              <w:rPr>
                <w:rFonts w:ascii="Times New Roman" w:eastAsia="標楷體" w:hAnsi="Times New Roman" w:cs="Arial" w:hint="eastAsia"/>
                <w:color w:val="000000"/>
                <w:kern w:val="0"/>
                <w:sz w:val="26"/>
                <w:szCs w:val="26"/>
              </w:rPr>
              <w:t>）</w:t>
            </w:r>
            <w:r w:rsidRPr="00AA7013">
              <w:rPr>
                <w:rFonts w:ascii="Times New Roman" w:eastAsia="標楷體" w:hAnsi="Times New Roman" w:cs="Arial" w:hint="eastAsia"/>
                <w:color w:val="000000"/>
                <w:kern w:val="0"/>
                <w:sz w:val="26"/>
                <w:szCs w:val="26"/>
              </w:rPr>
              <w:t>及永續經營傳承一節，財政部</w:t>
            </w:r>
            <w:proofErr w:type="gramStart"/>
            <w:r w:rsidRPr="00AA7013">
              <w:rPr>
                <w:rFonts w:ascii="Times New Roman" w:eastAsia="標楷體" w:hAnsi="Times New Roman" w:cs="Arial" w:hint="eastAsia"/>
                <w:color w:val="000000"/>
                <w:kern w:val="0"/>
                <w:sz w:val="26"/>
                <w:szCs w:val="26"/>
              </w:rPr>
              <w:t>刻參據</w:t>
            </w:r>
            <w:proofErr w:type="gramEnd"/>
            <w:r w:rsidRPr="00AA7013">
              <w:rPr>
                <w:rFonts w:ascii="Times New Roman" w:eastAsia="標楷體" w:hAnsi="Times New Roman" w:cs="Arial" w:hint="eastAsia"/>
                <w:color w:val="000000"/>
                <w:kern w:val="0"/>
                <w:sz w:val="26"/>
                <w:szCs w:val="26"/>
              </w:rPr>
              <w:t>多方意見，</w:t>
            </w:r>
            <w:proofErr w:type="gramStart"/>
            <w:r w:rsidRPr="00AA7013">
              <w:rPr>
                <w:rFonts w:ascii="Times New Roman" w:eastAsia="標楷體" w:hAnsi="Times New Roman" w:cs="Arial" w:hint="eastAsia"/>
                <w:color w:val="000000"/>
                <w:kern w:val="0"/>
                <w:sz w:val="26"/>
                <w:szCs w:val="26"/>
              </w:rPr>
              <w:t>研</w:t>
            </w:r>
            <w:proofErr w:type="gramEnd"/>
            <w:r w:rsidRPr="00AA7013">
              <w:rPr>
                <w:rFonts w:ascii="Times New Roman" w:eastAsia="標楷體" w:hAnsi="Times New Roman" w:cs="Arial" w:hint="eastAsia"/>
                <w:color w:val="000000"/>
                <w:kern w:val="0"/>
                <w:sz w:val="26"/>
                <w:szCs w:val="26"/>
              </w:rPr>
              <w:t>議修正上開要點規定。</w:t>
            </w:r>
          </w:p>
          <w:p w14:paraId="7A446941" w14:textId="77777777" w:rsidR="005E5F3E" w:rsidRPr="00ED4851" w:rsidRDefault="005E5F3E" w:rsidP="00C97469">
            <w:pPr>
              <w:pStyle w:val="ab"/>
              <w:numPr>
                <w:ilvl w:val="0"/>
                <w:numId w:val="8"/>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483DF2">
              <w:rPr>
                <w:rFonts w:ascii="Times New Roman" w:eastAsia="標楷體" w:hAnsi="Times New Roman" w:cs="Arial" w:hint="eastAsia"/>
                <w:color w:val="000000"/>
                <w:kern w:val="0"/>
                <w:sz w:val="26"/>
                <w:szCs w:val="26"/>
              </w:rPr>
              <w:t>所得稅法第</w:t>
            </w:r>
            <w:r w:rsidRPr="00483DF2">
              <w:rPr>
                <w:rFonts w:ascii="Times New Roman" w:eastAsia="標楷體" w:hAnsi="Times New Roman" w:cs="Arial" w:hint="eastAsia"/>
                <w:color w:val="000000"/>
                <w:kern w:val="0"/>
                <w:sz w:val="26"/>
                <w:szCs w:val="26"/>
              </w:rPr>
              <w:t>4</w:t>
            </w:r>
            <w:r w:rsidRPr="00483DF2">
              <w:rPr>
                <w:rFonts w:ascii="Times New Roman" w:eastAsia="標楷體" w:hAnsi="Times New Roman" w:cs="Arial" w:hint="eastAsia"/>
                <w:color w:val="000000"/>
                <w:kern w:val="0"/>
                <w:sz w:val="26"/>
                <w:szCs w:val="26"/>
              </w:rPr>
              <w:t>條之</w:t>
            </w:r>
            <w:r w:rsidRPr="00483DF2">
              <w:rPr>
                <w:rFonts w:ascii="Times New Roman" w:eastAsia="標楷體" w:hAnsi="Times New Roman" w:cs="Arial" w:hint="eastAsia"/>
                <w:color w:val="000000"/>
                <w:kern w:val="0"/>
                <w:sz w:val="26"/>
                <w:szCs w:val="26"/>
              </w:rPr>
              <w:t>4</w:t>
            </w:r>
            <w:r w:rsidRPr="00483DF2">
              <w:rPr>
                <w:rFonts w:ascii="Times New Roman" w:eastAsia="標楷體" w:hAnsi="Times New Roman" w:cs="Arial" w:hint="eastAsia"/>
                <w:color w:val="000000"/>
                <w:kern w:val="0"/>
                <w:sz w:val="26"/>
                <w:szCs w:val="26"/>
              </w:rPr>
              <w:t>第</w:t>
            </w:r>
            <w:r w:rsidRPr="00483DF2">
              <w:rPr>
                <w:rFonts w:ascii="Times New Roman" w:eastAsia="標楷體" w:hAnsi="Times New Roman" w:cs="Arial" w:hint="eastAsia"/>
                <w:color w:val="000000"/>
                <w:kern w:val="0"/>
                <w:sz w:val="26"/>
                <w:szCs w:val="26"/>
              </w:rPr>
              <w:t>3</w:t>
            </w:r>
            <w:r w:rsidRPr="00483DF2">
              <w:rPr>
                <w:rFonts w:ascii="Times New Roman" w:eastAsia="標楷體" w:hAnsi="Times New Roman" w:cs="Arial" w:hint="eastAsia"/>
                <w:color w:val="000000"/>
                <w:kern w:val="0"/>
                <w:sz w:val="26"/>
                <w:szCs w:val="26"/>
              </w:rPr>
              <w:t>項；房地合一課徵所得稅申報作業要點第</w:t>
            </w:r>
            <w:r w:rsidRPr="00483DF2">
              <w:rPr>
                <w:rFonts w:ascii="Times New Roman" w:eastAsia="標楷體" w:hAnsi="Times New Roman" w:cs="Arial" w:hint="eastAsia"/>
                <w:color w:val="000000"/>
                <w:kern w:val="0"/>
                <w:sz w:val="26"/>
                <w:szCs w:val="26"/>
              </w:rPr>
              <w:t>6</w:t>
            </w:r>
            <w:r w:rsidRPr="00483DF2">
              <w:rPr>
                <w:rFonts w:ascii="Times New Roman" w:eastAsia="標楷體" w:hAnsi="Times New Roman" w:cs="Arial" w:hint="eastAsia"/>
                <w:color w:val="000000"/>
                <w:kern w:val="0"/>
                <w:sz w:val="26"/>
                <w:szCs w:val="26"/>
              </w:rPr>
              <w:t>點</w:t>
            </w:r>
          </w:p>
        </w:tc>
        <w:tc>
          <w:tcPr>
            <w:tcW w:w="1417" w:type="dxa"/>
            <w:noWrap/>
          </w:tcPr>
          <w:p w14:paraId="2D86EC68"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230485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2C282D1F"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3893390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1C57C1D9"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89476568"/>
                <w14:checkbox>
                  <w14:checked w14:val="1"/>
                  <w14:checkedState w14:val="0052" w14:font="Wingdings 2"/>
                  <w14:uncheckedState w14:val="2610" w14:font="MS Gothic"/>
                </w14:checkbox>
              </w:sdtPr>
              <w:sdtEndPr/>
              <w:sdtContent>
                <w:r w:rsidR="005E5F3E">
                  <w:rPr>
                    <w:rFonts w:ascii="Times New Roman" w:hAnsi="Times New Roman" w:hint="eastAsia"/>
                    <w:color w:val="000000" w:themeColor="text1"/>
                    <w:lang w:eastAsia="zh-TW"/>
                  </w:rPr>
                  <w:sym w:font="Wingdings 2" w:char="F052"/>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6DB47586"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72236753"/>
                <w14:checkbox>
                  <w14:checked w14:val="0"/>
                  <w14:checkedState w14:val="0052" w14:font="Wingdings 2"/>
                  <w14:uncheckedState w14:val="2610" w14:font="MS Gothic"/>
                </w14:checkbox>
              </w:sdtPr>
              <w:sdtEndPr/>
              <w:sdtContent>
                <w:r w:rsidR="005E5F3E" w:rsidRPr="00ED4851">
                  <w:rPr>
                    <w:rFonts w:ascii="Segoe UI Symbol" w:eastAsia="標楷體" w:hAnsi="Segoe UI Symbol" w:cs="Segoe UI Symbol"/>
                    <w:color w:val="000000" w:themeColor="text1"/>
                    <w:sz w:val="26"/>
                    <w:szCs w:val="26"/>
                  </w:rPr>
                  <w:t>☐</w:t>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27B6094F" w14:textId="77777777" w:rsidTr="00C97469">
        <w:tc>
          <w:tcPr>
            <w:tcW w:w="1418" w:type="dxa"/>
            <w:vMerge/>
            <w:hideMark/>
          </w:tcPr>
          <w:p w14:paraId="069DB7E4"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6BA45555"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t>(</w:t>
            </w:r>
            <w:r w:rsidRPr="00011B19">
              <w:rPr>
                <w:rFonts w:ascii="Times New Roman" w:eastAsia="標楷體" w:hAnsi="Times New Roman" w:cs="Arial"/>
                <w:b/>
                <w:bCs/>
                <w:color w:val="000000"/>
                <w:kern w:val="0"/>
                <w:sz w:val="26"/>
                <w:szCs w:val="28"/>
              </w:rPr>
              <w:t>二</w:t>
            </w:r>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建議修正《土地稅法》與施行細則，放寬私有土地與國有土地交換時，私有土地之土地增值稅得予記存。</w:t>
            </w:r>
          </w:p>
        </w:tc>
        <w:tc>
          <w:tcPr>
            <w:tcW w:w="709" w:type="dxa"/>
            <w:hideMark/>
          </w:tcPr>
          <w:p w14:paraId="1A6A7DDD"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026B54FD" w14:textId="77777777" w:rsidR="005E5F3E" w:rsidRPr="008F035D"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8F035D">
              <w:rPr>
                <w:rFonts w:ascii="Times New Roman" w:eastAsia="標楷體" w:hAnsi="Times New Roman" w:cs="Arial" w:hint="eastAsia"/>
                <w:b/>
                <w:bCs/>
                <w:color w:val="000000"/>
                <w:kern w:val="0"/>
                <w:sz w:val="26"/>
                <w:szCs w:val="28"/>
              </w:rPr>
              <w:t>財政部</w:t>
            </w:r>
          </w:p>
          <w:p w14:paraId="6AA82F3F" w14:textId="77777777" w:rsidR="005E5F3E" w:rsidRDefault="005E5F3E" w:rsidP="00C97469">
            <w:pPr>
              <w:pStyle w:val="ab"/>
              <w:numPr>
                <w:ilvl w:val="0"/>
                <w:numId w:val="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1296CB7" w14:textId="77777777" w:rsidR="005E5F3E" w:rsidRDefault="005E5F3E" w:rsidP="00C97469">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459D2">
              <w:rPr>
                <w:rFonts w:ascii="Times New Roman" w:eastAsia="標楷體" w:hAnsi="Times New Roman" w:cs="Arial" w:hint="eastAsia"/>
                <w:color w:val="000000"/>
                <w:kern w:val="0"/>
                <w:sz w:val="26"/>
                <w:szCs w:val="26"/>
              </w:rPr>
              <w:t>有違漲價歸公之土地政策</w:t>
            </w:r>
          </w:p>
          <w:p w14:paraId="3D3C7761" w14:textId="77777777" w:rsidR="005E5F3E" w:rsidRPr="00AD6565"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AD6565">
              <w:rPr>
                <w:rFonts w:ascii="Times New Roman" w:eastAsia="標楷體" w:hAnsi="Times New Roman" w:cs="Arial" w:hint="eastAsia"/>
                <w:color w:val="000000"/>
                <w:kern w:val="0"/>
                <w:sz w:val="26"/>
                <w:szCs w:val="26"/>
              </w:rPr>
              <w:t>按土地所有權移轉應依土地漲價總數額徵收土地增值稅，並就自然漲價部分按累進稅率</w:t>
            </w:r>
            <w:r w:rsidRPr="00CE7987">
              <w:rPr>
                <w:rFonts w:ascii="Times New Roman" w:eastAsia="標楷體" w:hAnsi="Times New Roman" w:cs="Arial" w:hint="eastAsia"/>
                <w:color w:val="000000"/>
                <w:kern w:val="0"/>
                <w:sz w:val="26"/>
                <w:szCs w:val="26"/>
              </w:rPr>
              <w:t>（</w:t>
            </w:r>
            <w:r w:rsidRPr="00AD6565">
              <w:rPr>
                <w:rFonts w:ascii="Times New Roman" w:eastAsia="標楷體" w:hAnsi="Times New Roman" w:cs="Arial" w:hint="eastAsia"/>
                <w:color w:val="000000"/>
                <w:kern w:val="0"/>
                <w:sz w:val="26"/>
                <w:szCs w:val="26"/>
              </w:rPr>
              <w:t>20%</w:t>
            </w:r>
            <w:r w:rsidRPr="00AD6565">
              <w:rPr>
                <w:rFonts w:ascii="Times New Roman" w:eastAsia="標楷體" w:hAnsi="Times New Roman" w:cs="Arial" w:hint="eastAsia"/>
                <w:color w:val="000000"/>
                <w:kern w:val="0"/>
                <w:sz w:val="26"/>
                <w:szCs w:val="26"/>
              </w:rPr>
              <w:t>、</w:t>
            </w:r>
            <w:r w:rsidRPr="00AD6565">
              <w:rPr>
                <w:rFonts w:ascii="Times New Roman" w:eastAsia="標楷體" w:hAnsi="Times New Roman" w:cs="Arial" w:hint="eastAsia"/>
                <w:color w:val="000000"/>
                <w:kern w:val="0"/>
                <w:sz w:val="26"/>
                <w:szCs w:val="26"/>
              </w:rPr>
              <w:t>30%</w:t>
            </w:r>
            <w:r w:rsidRPr="00AD6565">
              <w:rPr>
                <w:rFonts w:ascii="Times New Roman" w:eastAsia="標楷體" w:hAnsi="Times New Roman" w:cs="Arial" w:hint="eastAsia"/>
                <w:color w:val="000000"/>
                <w:kern w:val="0"/>
                <w:sz w:val="26"/>
                <w:szCs w:val="26"/>
              </w:rPr>
              <w:t>、</w:t>
            </w:r>
            <w:r w:rsidRPr="00AD6565">
              <w:rPr>
                <w:rFonts w:ascii="Times New Roman" w:eastAsia="標楷體" w:hAnsi="Times New Roman" w:cs="Arial" w:hint="eastAsia"/>
                <w:color w:val="000000"/>
                <w:kern w:val="0"/>
                <w:sz w:val="26"/>
                <w:szCs w:val="26"/>
              </w:rPr>
              <w:t>40%</w:t>
            </w:r>
            <w:r w:rsidRPr="00CE7987">
              <w:rPr>
                <w:rFonts w:ascii="Times New Roman" w:eastAsia="標楷體" w:hAnsi="Times New Roman" w:cs="Arial" w:hint="eastAsia"/>
                <w:color w:val="000000"/>
                <w:kern w:val="0"/>
                <w:sz w:val="26"/>
                <w:szCs w:val="26"/>
              </w:rPr>
              <w:t>）</w:t>
            </w:r>
            <w:r w:rsidRPr="00AD6565">
              <w:rPr>
                <w:rFonts w:ascii="Times New Roman" w:eastAsia="標楷體" w:hAnsi="Times New Roman" w:cs="Arial" w:hint="eastAsia"/>
                <w:color w:val="000000"/>
                <w:kern w:val="0"/>
                <w:sz w:val="26"/>
                <w:szCs w:val="26"/>
              </w:rPr>
              <w:t>計算規定，係為落實憲法漲價歸公土地政策。國有土地換入後亦為私有土地，可自由處分收益，其與一般私有土地互換尚無不同，倘私有土地與國有土地交換，前者應納土地增值稅准予記存，</w:t>
            </w:r>
            <w:proofErr w:type="gramStart"/>
            <w:r w:rsidRPr="00AD6565">
              <w:rPr>
                <w:rFonts w:ascii="Times New Roman" w:eastAsia="標楷體" w:hAnsi="Times New Roman" w:cs="Arial" w:hint="eastAsia"/>
                <w:color w:val="000000"/>
                <w:kern w:val="0"/>
                <w:sz w:val="26"/>
                <w:szCs w:val="26"/>
              </w:rPr>
              <w:t>俟</w:t>
            </w:r>
            <w:proofErr w:type="gramEnd"/>
            <w:r w:rsidRPr="00AD6565">
              <w:rPr>
                <w:rFonts w:ascii="Times New Roman" w:eastAsia="標楷體" w:hAnsi="Times New Roman" w:cs="Arial" w:hint="eastAsia"/>
                <w:color w:val="000000"/>
                <w:kern w:val="0"/>
                <w:sz w:val="26"/>
                <w:szCs w:val="26"/>
              </w:rPr>
              <w:t>換入國有土地再移轉時繳納，恐</w:t>
            </w:r>
            <w:proofErr w:type="gramStart"/>
            <w:r w:rsidRPr="00AD6565">
              <w:rPr>
                <w:rFonts w:ascii="Times New Roman" w:eastAsia="標楷體" w:hAnsi="Times New Roman" w:cs="Arial" w:hint="eastAsia"/>
                <w:color w:val="000000"/>
                <w:kern w:val="0"/>
                <w:sz w:val="26"/>
                <w:szCs w:val="26"/>
              </w:rPr>
              <w:t>有違上開</w:t>
            </w:r>
            <w:proofErr w:type="gramEnd"/>
            <w:r w:rsidRPr="00AD6565">
              <w:rPr>
                <w:rFonts w:ascii="Times New Roman" w:eastAsia="標楷體" w:hAnsi="Times New Roman" w:cs="Arial" w:hint="eastAsia"/>
                <w:color w:val="000000"/>
                <w:kern w:val="0"/>
                <w:sz w:val="26"/>
                <w:szCs w:val="26"/>
              </w:rPr>
              <w:t>土地政策。</w:t>
            </w:r>
          </w:p>
          <w:p w14:paraId="53BCA857" w14:textId="77777777" w:rsidR="005E5F3E" w:rsidRDefault="005E5F3E" w:rsidP="00C97469">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459D2">
              <w:rPr>
                <w:rFonts w:ascii="Times New Roman" w:eastAsia="標楷體" w:hAnsi="Times New Roman" w:cs="Arial" w:hint="eastAsia"/>
                <w:color w:val="000000"/>
                <w:kern w:val="0"/>
                <w:sz w:val="26"/>
                <w:szCs w:val="26"/>
              </w:rPr>
              <w:t>土地增值稅為地方政府重要財源</w:t>
            </w:r>
          </w:p>
          <w:p w14:paraId="07930539" w14:textId="77777777" w:rsidR="005E5F3E" w:rsidRPr="00AD6565"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AD6565">
              <w:rPr>
                <w:rFonts w:ascii="Times New Roman" w:eastAsia="標楷體" w:hAnsi="Times New Roman" w:cs="Arial" w:hint="eastAsia"/>
                <w:color w:val="000000"/>
                <w:kern w:val="0"/>
                <w:sz w:val="26"/>
                <w:szCs w:val="26"/>
              </w:rPr>
              <w:t>依財劃法第</w:t>
            </w:r>
            <w:r w:rsidRPr="00AD6565">
              <w:rPr>
                <w:rFonts w:ascii="Times New Roman" w:eastAsia="標楷體" w:hAnsi="Times New Roman" w:cs="Arial" w:hint="eastAsia"/>
                <w:color w:val="000000"/>
                <w:kern w:val="0"/>
                <w:sz w:val="26"/>
                <w:szCs w:val="26"/>
              </w:rPr>
              <w:t>12</w:t>
            </w:r>
            <w:r w:rsidRPr="00AD6565">
              <w:rPr>
                <w:rFonts w:ascii="Times New Roman" w:eastAsia="標楷體" w:hAnsi="Times New Roman" w:cs="Arial" w:hint="eastAsia"/>
                <w:color w:val="000000"/>
                <w:kern w:val="0"/>
                <w:sz w:val="26"/>
                <w:szCs w:val="26"/>
              </w:rPr>
              <w:t>條規定，土地增值稅為直轄市及縣（市）稅，如前述，倘准予記存土地增值稅，將影響土地所在地地方政府財政收入，且恐引發其他公有土地（如直轄市有土地等）與私有土地交換，亦要求援引比照。</w:t>
            </w:r>
          </w:p>
          <w:p w14:paraId="2E3C1999" w14:textId="77777777" w:rsidR="005E5F3E" w:rsidRPr="00B459D2" w:rsidRDefault="005E5F3E" w:rsidP="00C97469">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459D2">
              <w:rPr>
                <w:rFonts w:ascii="Times New Roman" w:eastAsia="標楷體" w:hAnsi="Times New Roman" w:cs="Arial" w:hint="eastAsia"/>
                <w:color w:val="000000"/>
                <w:kern w:val="0"/>
                <w:sz w:val="26"/>
                <w:szCs w:val="26"/>
              </w:rPr>
              <w:t>綜上，有關建議修正土地稅法與施行細則，私有土地與國有土地交換時，記存該私有土地應納之土地增值稅，</w:t>
            </w:r>
            <w:proofErr w:type="gramStart"/>
            <w:r w:rsidRPr="00B459D2">
              <w:rPr>
                <w:rFonts w:ascii="Times New Roman" w:eastAsia="標楷體" w:hAnsi="Times New Roman" w:cs="Arial" w:hint="eastAsia"/>
                <w:color w:val="000000"/>
                <w:kern w:val="0"/>
                <w:sz w:val="26"/>
                <w:szCs w:val="26"/>
              </w:rPr>
              <w:t>嗣於換</w:t>
            </w:r>
            <w:proofErr w:type="gramEnd"/>
            <w:r w:rsidRPr="00B459D2">
              <w:rPr>
                <w:rFonts w:ascii="Times New Roman" w:eastAsia="標楷體" w:hAnsi="Times New Roman" w:cs="Arial" w:hint="eastAsia"/>
                <w:color w:val="000000"/>
                <w:kern w:val="0"/>
                <w:sz w:val="26"/>
                <w:szCs w:val="26"/>
              </w:rPr>
              <w:t>入之國有土地再移轉時一併繳</w:t>
            </w:r>
            <w:r w:rsidRPr="00B459D2">
              <w:rPr>
                <w:rFonts w:ascii="Times New Roman" w:eastAsia="標楷體" w:hAnsi="Times New Roman" w:cs="Arial" w:hint="eastAsia"/>
                <w:color w:val="000000"/>
                <w:kern w:val="0"/>
                <w:sz w:val="26"/>
                <w:szCs w:val="26"/>
              </w:rPr>
              <w:lastRenderedPageBreak/>
              <w:t>納一節，尚不宜</w:t>
            </w:r>
            <w:proofErr w:type="gramStart"/>
            <w:r w:rsidRPr="00B459D2">
              <w:rPr>
                <w:rFonts w:ascii="Times New Roman" w:eastAsia="標楷體" w:hAnsi="Times New Roman" w:cs="Arial" w:hint="eastAsia"/>
                <w:color w:val="000000"/>
                <w:kern w:val="0"/>
                <w:sz w:val="26"/>
                <w:szCs w:val="26"/>
              </w:rPr>
              <w:t>採</w:t>
            </w:r>
            <w:proofErr w:type="gramEnd"/>
            <w:r w:rsidRPr="00B459D2">
              <w:rPr>
                <w:rFonts w:ascii="Times New Roman" w:eastAsia="標楷體" w:hAnsi="Times New Roman" w:cs="Arial" w:hint="eastAsia"/>
                <w:color w:val="000000"/>
                <w:kern w:val="0"/>
                <w:sz w:val="26"/>
                <w:szCs w:val="26"/>
              </w:rPr>
              <w:t>行。</w:t>
            </w:r>
          </w:p>
          <w:p w14:paraId="52AEDDC5" w14:textId="77777777" w:rsidR="005E5F3E" w:rsidRPr="00ED4851" w:rsidRDefault="005E5F3E" w:rsidP="00C97469">
            <w:pPr>
              <w:pStyle w:val="ab"/>
              <w:numPr>
                <w:ilvl w:val="0"/>
                <w:numId w:val="9"/>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AD6565">
              <w:rPr>
                <w:rFonts w:ascii="Times New Roman" w:eastAsia="標楷體" w:hAnsi="Times New Roman" w:cs="Arial" w:hint="eastAsia"/>
                <w:color w:val="000000"/>
                <w:kern w:val="0"/>
                <w:sz w:val="26"/>
                <w:szCs w:val="26"/>
              </w:rPr>
              <w:t>中華民國憲法第</w:t>
            </w:r>
            <w:r w:rsidRPr="00AD6565">
              <w:rPr>
                <w:rFonts w:ascii="Times New Roman" w:eastAsia="標楷體" w:hAnsi="Times New Roman" w:cs="Arial" w:hint="eastAsia"/>
                <w:color w:val="000000"/>
                <w:kern w:val="0"/>
                <w:sz w:val="26"/>
                <w:szCs w:val="26"/>
              </w:rPr>
              <w:t>143</w:t>
            </w:r>
            <w:r w:rsidRPr="00AD6565">
              <w:rPr>
                <w:rFonts w:ascii="Times New Roman" w:eastAsia="標楷體" w:hAnsi="Times New Roman" w:cs="Arial" w:hint="eastAsia"/>
                <w:color w:val="000000"/>
                <w:kern w:val="0"/>
                <w:sz w:val="26"/>
                <w:szCs w:val="26"/>
              </w:rPr>
              <w:t>條；土地稅法第</w:t>
            </w:r>
            <w:r w:rsidRPr="00AD6565">
              <w:rPr>
                <w:rFonts w:ascii="Times New Roman" w:eastAsia="標楷體" w:hAnsi="Times New Roman" w:cs="Arial" w:hint="eastAsia"/>
                <w:color w:val="000000"/>
                <w:kern w:val="0"/>
                <w:sz w:val="26"/>
                <w:szCs w:val="26"/>
              </w:rPr>
              <w:t>28</w:t>
            </w:r>
            <w:r w:rsidRPr="00AD6565">
              <w:rPr>
                <w:rFonts w:ascii="Times New Roman" w:eastAsia="標楷體" w:hAnsi="Times New Roman" w:cs="Arial" w:hint="eastAsia"/>
                <w:color w:val="000000"/>
                <w:kern w:val="0"/>
                <w:sz w:val="26"/>
                <w:szCs w:val="26"/>
              </w:rPr>
              <w:t>條；平均地權條例第</w:t>
            </w:r>
            <w:r w:rsidRPr="00AD6565">
              <w:rPr>
                <w:rFonts w:ascii="Times New Roman" w:eastAsia="標楷體" w:hAnsi="Times New Roman" w:cs="Arial" w:hint="eastAsia"/>
                <w:color w:val="000000"/>
                <w:kern w:val="0"/>
                <w:sz w:val="26"/>
                <w:szCs w:val="26"/>
              </w:rPr>
              <w:t>35</w:t>
            </w:r>
            <w:r w:rsidRPr="00AD6565">
              <w:rPr>
                <w:rFonts w:ascii="Times New Roman" w:eastAsia="標楷體" w:hAnsi="Times New Roman" w:cs="Arial" w:hint="eastAsia"/>
                <w:color w:val="000000"/>
                <w:kern w:val="0"/>
                <w:sz w:val="26"/>
                <w:szCs w:val="26"/>
              </w:rPr>
              <w:t>條及第</w:t>
            </w:r>
            <w:r w:rsidRPr="00AD6565">
              <w:rPr>
                <w:rFonts w:ascii="Times New Roman" w:eastAsia="標楷體" w:hAnsi="Times New Roman" w:cs="Arial" w:hint="eastAsia"/>
                <w:color w:val="000000"/>
                <w:kern w:val="0"/>
                <w:sz w:val="26"/>
                <w:szCs w:val="26"/>
              </w:rPr>
              <w:t>36</w:t>
            </w:r>
            <w:r w:rsidRPr="00AD6565">
              <w:rPr>
                <w:rFonts w:ascii="Times New Roman" w:eastAsia="標楷體" w:hAnsi="Times New Roman" w:cs="Arial" w:hint="eastAsia"/>
                <w:color w:val="000000"/>
                <w:kern w:val="0"/>
                <w:sz w:val="26"/>
                <w:szCs w:val="26"/>
              </w:rPr>
              <w:t>條；財政收支劃分法第</w:t>
            </w:r>
            <w:r w:rsidRPr="00AD6565">
              <w:rPr>
                <w:rFonts w:ascii="Times New Roman" w:eastAsia="標楷體" w:hAnsi="Times New Roman" w:cs="Arial" w:hint="eastAsia"/>
                <w:color w:val="000000"/>
                <w:kern w:val="0"/>
                <w:sz w:val="26"/>
                <w:szCs w:val="26"/>
              </w:rPr>
              <w:t>12</w:t>
            </w:r>
            <w:r w:rsidRPr="00AD6565">
              <w:rPr>
                <w:rFonts w:ascii="Times New Roman" w:eastAsia="標楷體" w:hAnsi="Times New Roman" w:cs="Arial" w:hint="eastAsia"/>
                <w:color w:val="000000"/>
                <w:kern w:val="0"/>
                <w:sz w:val="26"/>
                <w:szCs w:val="26"/>
              </w:rPr>
              <w:t>條</w:t>
            </w:r>
          </w:p>
        </w:tc>
        <w:tc>
          <w:tcPr>
            <w:tcW w:w="1417" w:type="dxa"/>
            <w:noWrap/>
          </w:tcPr>
          <w:p w14:paraId="197EAA95"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34743738"/>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2B62CBB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5355371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082D8D5D"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75944387"/>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5694DB83"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52759506"/>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2C321D34" w14:textId="77777777" w:rsidTr="00C97469">
        <w:tc>
          <w:tcPr>
            <w:tcW w:w="1418" w:type="dxa"/>
            <w:vMerge/>
            <w:hideMark/>
          </w:tcPr>
          <w:p w14:paraId="0D8FD193"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6167BEE1"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t>(</w:t>
            </w:r>
            <w:r w:rsidRPr="00011B19">
              <w:rPr>
                <w:rFonts w:ascii="Times New Roman" w:eastAsia="標楷體" w:hAnsi="Times New Roman" w:cs="Arial"/>
                <w:b/>
                <w:bCs/>
                <w:color w:val="000000"/>
                <w:kern w:val="0"/>
                <w:sz w:val="26"/>
                <w:szCs w:val="28"/>
              </w:rPr>
              <w:t>三</w:t>
            </w:r>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建議修訂</w:t>
            </w:r>
            <w:r w:rsidRPr="00011B19">
              <w:rPr>
                <w:rFonts w:ascii="Times New Roman" w:eastAsia="標楷體" w:hAnsi="Times New Roman" w:cs="Arial"/>
                <w:b/>
                <w:bCs/>
                <w:color w:val="000000"/>
                <w:kern w:val="0"/>
                <w:sz w:val="26"/>
                <w:szCs w:val="28"/>
              </w:rPr>
              <w:t>REITs</w:t>
            </w:r>
            <w:r w:rsidRPr="00011B19">
              <w:rPr>
                <w:rFonts w:ascii="Times New Roman" w:eastAsia="標楷體" w:hAnsi="Times New Roman" w:cs="Arial"/>
                <w:b/>
                <w:bCs/>
                <w:color w:val="000000"/>
                <w:kern w:val="0"/>
                <w:sz w:val="26"/>
                <w:szCs w:val="28"/>
              </w:rPr>
              <w:t>之地價稅，</w:t>
            </w:r>
            <w:proofErr w:type="gramStart"/>
            <w:r w:rsidRPr="00011B19">
              <w:rPr>
                <w:rFonts w:ascii="Times New Roman" w:eastAsia="標楷體" w:hAnsi="Times New Roman" w:cs="Arial"/>
                <w:b/>
                <w:bCs/>
                <w:color w:val="000000"/>
                <w:kern w:val="0"/>
                <w:sz w:val="26"/>
                <w:szCs w:val="28"/>
              </w:rPr>
              <w:t>採</w:t>
            </w:r>
            <w:proofErr w:type="gramEnd"/>
            <w:r w:rsidRPr="00011B19">
              <w:rPr>
                <w:rFonts w:ascii="Times New Roman" w:eastAsia="標楷體" w:hAnsi="Times New Roman" w:cs="Arial"/>
                <w:b/>
                <w:bCs/>
                <w:color w:val="000000"/>
                <w:kern w:val="0"/>
                <w:sz w:val="26"/>
                <w:szCs w:val="28"/>
              </w:rPr>
              <w:t>《土地稅法》第</w:t>
            </w:r>
            <w:r w:rsidRPr="00011B19">
              <w:rPr>
                <w:rFonts w:ascii="Times New Roman" w:eastAsia="標楷體" w:hAnsi="Times New Roman" w:cs="Arial"/>
                <w:b/>
                <w:bCs/>
                <w:color w:val="000000"/>
                <w:kern w:val="0"/>
                <w:sz w:val="26"/>
                <w:szCs w:val="28"/>
              </w:rPr>
              <w:t>16</w:t>
            </w:r>
            <w:r w:rsidRPr="00011B19">
              <w:rPr>
                <w:rFonts w:ascii="Times New Roman" w:eastAsia="標楷體" w:hAnsi="Times New Roman" w:cs="Arial"/>
                <w:b/>
                <w:bCs/>
                <w:color w:val="000000"/>
                <w:kern w:val="0"/>
                <w:sz w:val="26"/>
                <w:szCs w:val="28"/>
              </w:rPr>
              <w:t>條規定之地價稅基本稅率課</w:t>
            </w:r>
            <w:proofErr w:type="gramStart"/>
            <w:r w:rsidRPr="00011B19">
              <w:rPr>
                <w:rFonts w:ascii="Times New Roman" w:eastAsia="標楷體" w:hAnsi="Times New Roman" w:cs="Arial"/>
                <w:b/>
                <w:bCs/>
                <w:color w:val="000000"/>
                <w:kern w:val="0"/>
                <w:sz w:val="26"/>
                <w:szCs w:val="28"/>
              </w:rPr>
              <w:t>徵</w:t>
            </w:r>
            <w:proofErr w:type="gramEnd"/>
            <w:r w:rsidRPr="00011B19">
              <w:rPr>
                <w:rFonts w:ascii="Times New Roman" w:eastAsia="標楷體" w:hAnsi="Times New Roman" w:cs="Arial"/>
                <w:b/>
                <w:bCs/>
                <w:color w:val="000000"/>
                <w:kern w:val="0"/>
                <w:sz w:val="26"/>
                <w:szCs w:val="28"/>
              </w:rPr>
              <w:t>。</w:t>
            </w:r>
          </w:p>
        </w:tc>
        <w:tc>
          <w:tcPr>
            <w:tcW w:w="709" w:type="dxa"/>
            <w:hideMark/>
          </w:tcPr>
          <w:p w14:paraId="6412ACB5"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3B7875F8" w14:textId="77777777" w:rsidR="005E5F3E" w:rsidRPr="004A5A0F"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4A5A0F">
              <w:rPr>
                <w:rFonts w:ascii="Times New Roman" w:eastAsia="標楷體" w:hAnsi="Times New Roman" w:cs="Arial" w:hint="eastAsia"/>
                <w:b/>
                <w:bCs/>
                <w:color w:val="000000"/>
                <w:kern w:val="0"/>
                <w:sz w:val="26"/>
                <w:szCs w:val="28"/>
              </w:rPr>
              <w:t>財政部</w:t>
            </w:r>
          </w:p>
          <w:p w14:paraId="1752793F" w14:textId="77777777" w:rsidR="005E5F3E" w:rsidRDefault="005E5F3E" w:rsidP="00C97469">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2022AAC" w14:textId="77777777" w:rsidR="005E5F3E" w:rsidRDefault="005E5F3E" w:rsidP="00C97469">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4A5A0F">
              <w:rPr>
                <w:rFonts w:ascii="Times New Roman" w:eastAsia="標楷體" w:hAnsi="Times New Roman" w:cs="Arial" w:hint="eastAsia"/>
                <w:color w:val="000000"/>
                <w:kern w:val="0"/>
                <w:sz w:val="26"/>
                <w:szCs w:val="26"/>
              </w:rPr>
              <w:t>有違平均地權之土地政策</w:t>
            </w:r>
          </w:p>
          <w:p w14:paraId="382BD895" w14:textId="77777777" w:rsidR="005E5F3E" w:rsidRPr="004A5A0F"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4A5A0F">
              <w:rPr>
                <w:rFonts w:ascii="Times New Roman" w:eastAsia="標楷體" w:hAnsi="Times New Roman" w:cs="Arial" w:hint="eastAsia"/>
                <w:color w:val="000000"/>
                <w:kern w:val="0"/>
                <w:sz w:val="26"/>
                <w:szCs w:val="26"/>
              </w:rPr>
              <w:t>地價稅</w:t>
            </w:r>
            <w:proofErr w:type="gramStart"/>
            <w:r w:rsidRPr="004A5A0F">
              <w:rPr>
                <w:rFonts w:ascii="Times New Roman" w:eastAsia="標楷體" w:hAnsi="Times New Roman" w:cs="Arial" w:hint="eastAsia"/>
                <w:color w:val="000000"/>
                <w:kern w:val="0"/>
                <w:sz w:val="26"/>
                <w:szCs w:val="26"/>
              </w:rPr>
              <w:t>採</w:t>
            </w:r>
            <w:proofErr w:type="gramEnd"/>
            <w:r w:rsidRPr="004A5A0F">
              <w:rPr>
                <w:rFonts w:ascii="Times New Roman" w:eastAsia="標楷體" w:hAnsi="Times New Roman" w:cs="Arial" w:hint="eastAsia"/>
                <w:color w:val="000000"/>
                <w:kern w:val="0"/>
                <w:sz w:val="26"/>
                <w:szCs w:val="26"/>
              </w:rPr>
              <w:t>累進稅制</w:t>
            </w:r>
            <w:proofErr w:type="gramStart"/>
            <w:r w:rsidRPr="004A5A0F">
              <w:rPr>
                <w:rFonts w:ascii="Times New Roman" w:eastAsia="標楷體" w:hAnsi="Times New Roman" w:cs="Arial" w:hint="eastAsia"/>
                <w:color w:val="000000"/>
                <w:kern w:val="0"/>
                <w:sz w:val="26"/>
                <w:szCs w:val="26"/>
              </w:rPr>
              <w:t>（</w:t>
            </w:r>
            <w:proofErr w:type="gramEnd"/>
            <w:r w:rsidRPr="004A5A0F">
              <w:rPr>
                <w:rFonts w:ascii="Times New Roman" w:eastAsia="標楷體" w:hAnsi="Times New Roman" w:cs="Arial" w:hint="eastAsia"/>
                <w:color w:val="000000"/>
                <w:kern w:val="0"/>
                <w:sz w:val="26"/>
                <w:szCs w:val="26"/>
              </w:rPr>
              <w:t>10</w:t>
            </w:r>
            <w:r w:rsidRPr="004A5A0F">
              <w:rPr>
                <w:rFonts w:ascii="Times New Roman" w:eastAsia="標楷體" w:hAnsi="Times New Roman" w:cs="Arial" w:hint="eastAsia"/>
                <w:color w:val="000000"/>
                <w:kern w:val="0"/>
                <w:sz w:val="26"/>
                <w:szCs w:val="26"/>
              </w:rPr>
              <w:t>‰至</w:t>
            </w:r>
            <w:r w:rsidRPr="004A5A0F">
              <w:rPr>
                <w:rFonts w:ascii="Times New Roman" w:eastAsia="標楷體" w:hAnsi="Times New Roman" w:cs="Arial" w:hint="eastAsia"/>
                <w:color w:val="000000"/>
                <w:kern w:val="0"/>
                <w:sz w:val="26"/>
                <w:szCs w:val="26"/>
              </w:rPr>
              <w:t>55</w:t>
            </w:r>
            <w:r w:rsidRPr="004A5A0F">
              <w:rPr>
                <w:rFonts w:ascii="Times New Roman" w:eastAsia="標楷體" w:hAnsi="Times New Roman" w:cs="Arial" w:hint="eastAsia"/>
                <w:color w:val="000000"/>
                <w:kern w:val="0"/>
                <w:sz w:val="26"/>
                <w:szCs w:val="26"/>
              </w:rPr>
              <w:t>‰），係落實憲法所定平均地權之土地政策，不宜僅因不動產投資信託（</w:t>
            </w:r>
            <w:r w:rsidRPr="004A5A0F">
              <w:rPr>
                <w:rFonts w:ascii="Times New Roman" w:eastAsia="標楷體" w:hAnsi="Times New Roman" w:cs="Arial" w:hint="eastAsia"/>
                <w:color w:val="000000"/>
                <w:kern w:val="0"/>
                <w:sz w:val="26"/>
                <w:szCs w:val="26"/>
              </w:rPr>
              <w:t>REITs</w:t>
            </w:r>
            <w:r w:rsidRPr="004A5A0F">
              <w:rPr>
                <w:rFonts w:ascii="Times New Roman" w:eastAsia="標楷體" w:hAnsi="Times New Roman" w:cs="Arial" w:hint="eastAsia"/>
                <w:color w:val="000000"/>
                <w:kern w:val="0"/>
                <w:sz w:val="26"/>
                <w:szCs w:val="26"/>
              </w:rPr>
              <w:t>）投資持有即給予不同租稅待遇。</w:t>
            </w:r>
          </w:p>
          <w:p w14:paraId="0520ACA4" w14:textId="77777777" w:rsidR="005E5F3E" w:rsidRDefault="005E5F3E" w:rsidP="00C97469">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4A5A0F">
              <w:rPr>
                <w:rFonts w:ascii="Times New Roman" w:eastAsia="標楷體" w:hAnsi="Times New Roman" w:cs="Arial" w:hint="eastAsia"/>
                <w:color w:val="000000"/>
                <w:kern w:val="0"/>
                <w:sz w:val="26"/>
                <w:szCs w:val="26"/>
              </w:rPr>
              <w:t>地價稅為地方政府重要財源</w:t>
            </w:r>
          </w:p>
          <w:p w14:paraId="518BC141" w14:textId="77777777" w:rsidR="005E5F3E" w:rsidRPr="004A5A0F"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4A5A0F">
              <w:rPr>
                <w:rFonts w:ascii="Times New Roman" w:eastAsia="標楷體" w:hAnsi="Times New Roman" w:cs="Arial" w:hint="eastAsia"/>
                <w:color w:val="000000"/>
                <w:kern w:val="0"/>
                <w:sz w:val="26"/>
                <w:szCs w:val="26"/>
              </w:rPr>
              <w:t>依財劃法第</w:t>
            </w:r>
            <w:r w:rsidRPr="004A5A0F">
              <w:rPr>
                <w:rFonts w:ascii="Times New Roman" w:eastAsia="標楷體" w:hAnsi="Times New Roman" w:cs="Arial" w:hint="eastAsia"/>
                <w:color w:val="000000"/>
                <w:kern w:val="0"/>
                <w:sz w:val="26"/>
                <w:szCs w:val="26"/>
              </w:rPr>
              <w:t>12</w:t>
            </w:r>
            <w:r w:rsidRPr="004A5A0F">
              <w:rPr>
                <w:rFonts w:ascii="Times New Roman" w:eastAsia="標楷體" w:hAnsi="Times New Roman" w:cs="Arial" w:hint="eastAsia"/>
                <w:color w:val="000000"/>
                <w:kern w:val="0"/>
                <w:sz w:val="26"/>
                <w:szCs w:val="26"/>
              </w:rPr>
              <w:t>條規定，地價稅為直轄市及縣（市）稅，</w:t>
            </w:r>
            <w:r w:rsidRPr="004A5A0F">
              <w:rPr>
                <w:rFonts w:ascii="Times New Roman" w:eastAsia="標楷體" w:hAnsi="Times New Roman" w:cs="Arial" w:hint="eastAsia"/>
                <w:color w:val="000000"/>
                <w:kern w:val="0"/>
                <w:sz w:val="26"/>
                <w:szCs w:val="26"/>
              </w:rPr>
              <w:t>REITs</w:t>
            </w:r>
            <w:r w:rsidRPr="004A5A0F">
              <w:rPr>
                <w:rFonts w:ascii="Times New Roman" w:eastAsia="標楷體" w:hAnsi="Times New Roman" w:cs="Arial" w:hint="eastAsia"/>
                <w:color w:val="000000"/>
                <w:kern w:val="0"/>
                <w:sz w:val="26"/>
                <w:szCs w:val="26"/>
              </w:rPr>
              <w:t>投資之</w:t>
            </w:r>
            <w:proofErr w:type="gramStart"/>
            <w:r w:rsidRPr="004A5A0F">
              <w:rPr>
                <w:rFonts w:ascii="Times New Roman" w:eastAsia="標楷體" w:hAnsi="Times New Roman" w:cs="Arial" w:hint="eastAsia"/>
                <w:color w:val="000000"/>
                <w:kern w:val="0"/>
                <w:sz w:val="26"/>
                <w:szCs w:val="26"/>
              </w:rPr>
              <w:t>土地倘改按</w:t>
            </w:r>
            <w:proofErr w:type="gramEnd"/>
            <w:r w:rsidRPr="004A5A0F">
              <w:rPr>
                <w:rFonts w:ascii="Times New Roman" w:eastAsia="標楷體" w:hAnsi="Times New Roman" w:cs="Arial" w:hint="eastAsia"/>
                <w:color w:val="000000"/>
                <w:kern w:val="0"/>
                <w:sz w:val="26"/>
                <w:szCs w:val="26"/>
              </w:rPr>
              <w:t>基本稅率</w:t>
            </w:r>
            <w:r w:rsidRPr="004A5A0F">
              <w:rPr>
                <w:rFonts w:ascii="Times New Roman" w:eastAsia="標楷體" w:hAnsi="Times New Roman" w:cs="Arial" w:hint="eastAsia"/>
                <w:color w:val="000000"/>
                <w:kern w:val="0"/>
                <w:sz w:val="26"/>
                <w:szCs w:val="26"/>
              </w:rPr>
              <w:t>10</w:t>
            </w:r>
            <w:r w:rsidRPr="004A5A0F">
              <w:rPr>
                <w:rFonts w:ascii="Times New Roman" w:eastAsia="標楷體" w:hAnsi="Times New Roman" w:cs="Arial" w:hint="eastAsia"/>
                <w:color w:val="000000"/>
                <w:kern w:val="0"/>
                <w:sz w:val="26"/>
                <w:szCs w:val="26"/>
              </w:rPr>
              <w:t>‰課徵地價稅，恐影響土地所在地地方政府財政收入，且可能讓外界有助長炒地及囤地疑慮。</w:t>
            </w:r>
          </w:p>
          <w:p w14:paraId="7981C4DC" w14:textId="77777777" w:rsidR="005E5F3E" w:rsidRPr="004A5A0F" w:rsidRDefault="005E5F3E" w:rsidP="00C97469">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4A5A0F">
              <w:rPr>
                <w:rFonts w:ascii="Times New Roman" w:eastAsia="標楷體" w:hAnsi="Times New Roman" w:cs="Arial" w:hint="eastAsia"/>
                <w:color w:val="000000"/>
                <w:kern w:val="0"/>
                <w:sz w:val="26"/>
                <w:szCs w:val="26"/>
              </w:rPr>
              <w:t>綜上，建議修正</w:t>
            </w:r>
            <w:r w:rsidRPr="004A5A0F">
              <w:rPr>
                <w:rFonts w:ascii="Times New Roman" w:eastAsia="標楷體" w:hAnsi="Times New Roman" w:cs="Arial" w:hint="eastAsia"/>
                <w:color w:val="000000"/>
                <w:kern w:val="0"/>
                <w:sz w:val="26"/>
                <w:szCs w:val="26"/>
              </w:rPr>
              <w:t>REITs</w:t>
            </w:r>
            <w:r w:rsidRPr="004A5A0F">
              <w:rPr>
                <w:rFonts w:ascii="Times New Roman" w:eastAsia="標楷體" w:hAnsi="Times New Roman" w:cs="Arial" w:hint="eastAsia"/>
                <w:color w:val="000000"/>
                <w:kern w:val="0"/>
                <w:sz w:val="26"/>
                <w:szCs w:val="26"/>
              </w:rPr>
              <w:t>投資之土地以基本稅率</w:t>
            </w:r>
            <w:proofErr w:type="gramStart"/>
            <w:r w:rsidRPr="004A5A0F">
              <w:rPr>
                <w:rFonts w:ascii="Times New Roman" w:eastAsia="標楷體" w:hAnsi="Times New Roman" w:cs="Arial" w:hint="eastAsia"/>
                <w:color w:val="000000"/>
                <w:kern w:val="0"/>
                <w:sz w:val="26"/>
                <w:szCs w:val="26"/>
              </w:rPr>
              <w:t>（</w:t>
            </w:r>
            <w:proofErr w:type="gramEnd"/>
            <w:r w:rsidRPr="004A5A0F">
              <w:rPr>
                <w:rFonts w:ascii="Times New Roman" w:eastAsia="標楷體" w:hAnsi="Times New Roman" w:cs="Arial" w:hint="eastAsia"/>
                <w:color w:val="000000"/>
                <w:kern w:val="0"/>
                <w:sz w:val="26"/>
                <w:szCs w:val="26"/>
              </w:rPr>
              <w:t>10</w:t>
            </w:r>
            <w:r w:rsidRPr="004A5A0F">
              <w:rPr>
                <w:rFonts w:ascii="Times New Roman" w:eastAsia="標楷體" w:hAnsi="Times New Roman" w:cs="Arial" w:hint="eastAsia"/>
                <w:color w:val="000000"/>
                <w:kern w:val="0"/>
                <w:sz w:val="26"/>
                <w:szCs w:val="26"/>
              </w:rPr>
              <w:t>‰）課徵地價稅一節，尚不宜採行。</w:t>
            </w:r>
          </w:p>
          <w:p w14:paraId="026A1B7F" w14:textId="77777777" w:rsidR="005E5F3E" w:rsidRPr="00ED4851" w:rsidRDefault="005E5F3E" w:rsidP="00C97469">
            <w:pPr>
              <w:pStyle w:val="ab"/>
              <w:numPr>
                <w:ilvl w:val="0"/>
                <w:numId w:val="10"/>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37964">
              <w:rPr>
                <w:rFonts w:ascii="Times New Roman" w:eastAsia="標楷體" w:hAnsi="Times New Roman" w:cs="Arial" w:hint="eastAsia"/>
                <w:color w:val="000000"/>
                <w:kern w:val="0"/>
                <w:sz w:val="26"/>
                <w:szCs w:val="26"/>
              </w:rPr>
              <w:t>中華民國憲法第</w:t>
            </w:r>
            <w:r w:rsidRPr="00537964">
              <w:rPr>
                <w:rFonts w:ascii="Times New Roman" w:eastAsia="標楷體" w:hAnsi="Times New Roman" w:cs="Arial" w:hint="eastAsia"/>
                <w:color w:val="000000"/>
                <w:kern w:val="0"/>
                <w:sz w:val="26"/>
                <w:szCs w:val="26"/>
              </w:rPr>
              <w:t>142</w:t>
            </w:r>
            <w:r w:rsidRPr="00537964">
              <w:rPr>
                <w:rFonts w:ascii="Times New Roman" w:eastAsia="標楷體" w:hAnsi="Times New Roman" w:cs="Arial" w:hint="eastAsia"/>
                <w:color w:val="000000"/>
                <w:kern w:val="0"/>
                <w:sz w:val="26"/>
                <w:szCs w:val="26"/>
              </w:rPr>
              <w:t>條及第</w:t>
            </w:r>
            <w:r w:rsidRPr="00537964">
              <w:rPr>
                <w:rFonts w:ascii="Times New Roman" w:eastAsia="標楷體" w:hAnsi="Times New Roman" w:cs="Arial" w:hint="eastAsia"/>
                <w:color w:val="000000"/>
                <w:kern w:val="0"/>
                <w:sz w:val="26"/>
                <w:szCs w:val="26"/>
              </w:rPr>
              <w:t>143</w:t>
            </w:r>
            <w:r w:rsidRPr="00537964">
              <w:rPr>
                <w:rFonts w:ascii="Times New Roman" w:eastAsia="標楷體" w:hAnsi="Times New Roman" w:cs="Arial" w:hint="eastAsia"/>
                <w:color w:val="000000"/>
                <w:kern w:val="0"/>
                <w:sz w:val="26"/>
                <w:szCs w:val="26"/>
              </w:rPr>
              <w:t>條；不動產證券化條例第</w:t>
            </w:r>
            <w:r w:rsidRPr="00537964">
              <w:rPr>
                <w:rFonts w:ascii="Times New Roman" w:eastAsia="標楷體" w:hAnsi="Times New Roman" w:cs="Arial" w:hint="eastAsia"/>
                <w:color w:val="000000"/>
                <w:kern w:val="0"/>
                <w:sz w:val="26"/>
                <w:szCs w:val="26"/>
              </w:rPr>
              <w:t>51</w:t>
            </w:r>
            <w:r w:rsidRPr="00537964">
              <w:rPr>
                <w:rFonts w:ascii="Times New Roman" w:eastAsia="標楷體" w:hAnsi="Times New Roman" w:cs="Arial" w:hint="eastAsia"/>
                <w:color w:val="000000"/>
                <w:kern w:val="0"/>
                <w:sz w:val="26"/>
                <w:szCs w:val="26"/>
              </w:rPr>
              <w:t>條；土地稅法第</w:t>
            </w:r>
            <w:r w:rsidRPr="00537964">
              <w:rPr>
                <w:rFonts w:ascii="Times New Roman" w:eastAsia="標楷體" w:hAnsi="Times New Roman" w:cs="Arial" w:hint="eastAsia"/>
                <w:color w:val="000000"/>
                <w:kern w:val="0"/>
                <w:sz w:val="26"/>
                <w:szCs w:val="26"/>
              </w:rPr>
              <w:t>16</w:t>
            </w:r>
            <w:r w:rsidRPr="00537964">
              <w:rPr>
                <w:rFonts w:ascii="Times New Roman" w:eastAsia="標楷體" w:hAnsi="Times New Roman" w:cs="Arial" w:hint="eastAsia"/>
                <w:color w:val="000000"/>
                <w:kern w:val="0"/>
                <w:sz w:val="26"/>
                <w:szCs w:val="26"/>
              </w:rPr>
              <w:t>條；平均地權條例第</w:t>
            </w:r>
            <w:r w:rsidRPr="00537964">
              <w:rPr>
                <w:rFonts w:ascii="Times New Roman" w:eastAsia="標楷體" w:hAnsi="Times New Roman" w:cs="Arial" w:hint="eastAsia"/>
                <w:color w:val="000000"/>
                <w:kern w:val="0"/>
                <w:sz w:val="26"/>
                <w:szCs w:val="26"/>
              </w:rPr>
              <w:t>19</w:t>
            </w:r>
            <w:r w:rsidRPr="00537964">
              <w:rPr>
                <w:rFonts w:ascii="Times New Roman" w:eastAsia="標楷體" w:hAnsi="Times New Roman" w:cs="Arial" w:hint="eastAsia"/>
                <w:color w:val="000000"/>
                <w:kern w:val="0"/>
                <w:sz w:val="26"/>
                <w:szCs w:val="26"/>
              </w:rPr>
              <w:t>條；財政收支劃分法第</w:t>
            </w:r>
            <w:r w:rsidRPr="00537964">
              <w:rPr>
                <w:rFonts w:ascii="Times New Roman" w:eastAsia="標楷體" w:hAnsi="Times New Roman" w:cs="Arial" w:hint="eastAsia"/>
                <w:color w:val="000000"/>
                <w:kern w:val="0"/>
                <w:sz w:val="26"/>
                <w:szCs w:val="26"/>
              </w:rPr>
              <w:t>12</w:t>
            </w:r>
            <w:r w:rsidRPr="00537964">
              <w:rPr>
                <w:rFonts w:ascii="Times New Roman" w:eastAsia="標楷體" w:hAnsi="Times New Roman" w:cs="Arial" w:hint="eastAsia"/>
                <w:color w:val="000000"/>
                <w:kern w:val="0"/>
                <w:sz w:val="26"/>
                <w:szCs w:val="26"/>
              </w:rPr>
              <w:t>條</w:t>
            </w:r>
          </w:p>
        </w:tc>
        <w:tc>
          <w:tcPr>
            <w:tcW w:w="1417" w:type="dxa"/>
            <w:noWrap/>
          </w:tcPr>
          <w:p w14:paraId="3BAD7615"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0805777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0897DE26"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97733596"/>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45320C1B"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73695173"/>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2C073968"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76979833"/>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550C7CA1" w14:textId="77777777" w:rsidTr="00C97469">
        <w:tc>
          <w:tcPr>
            <w:tcW w:w="1418" w:type="dxa"/>
            <w:vMerge w:val="restart"/>
            <w:shd w:val="clear" w:color="FFFFFF" w:fill="FFFFFF"/>
            <w:hideMark/>
          </w:tcPr>
          <w:p w14:paraId="1997263D" w14:textId="77777777" w:rsidR="005E5F3E" w:rsidRPr="00ED4851"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ED4851">
              <w:rPr>
                <w:rFonts w:ascii="Times New Roman" w:eastAsia="標楷體" w:hAnsi="Times New Roman" w:cs="Arial" w:hint="eastAsia"/>
                <w:b/>
                <w:bCs/>
                <w:color w:val="000000"/>
                <w:kern w:val="0"/>
                <w:sz w:val="26"/>
                <w:szCs w:val="28"/>
              </w:rPr>
              <w:t>六、持續檢討相關</w:t>
            </w:r>
            <w:proofErr w:type="gramStart"/>
            <w:r w:rsidRPr="00ED4851">
              <w:rPr>
                <w:rFonts w:ascii="Times New Roman" w:eastAsia="標楷體" w:hAnsi="Times New Roman" w:cs="Arial" w:hint="eastAsia"/>
                <w:b/>
                <w:bCs/>
                <w:color w:val="000000"/>
                <w:kern w:val="0"/>
                <w:sz w:val="26"/>
                <w:szCs w:val="28"/>
              </w:rPr>
              <w:t>稅制與函釋</w:t>
            </w:r>
            <w:proofErr w:type="gramEnd"/>
            <w:r w:rsidRPr="00ED4851">
              <w:rPr>
                <w:rFonts w:ascii="Times New Roman" w:eastAsia="標楷體" w:hAnsi="Times New Roman" w:cs="Arial" w:hint="eastAsia"/>
                <w:b/>
                <w:bCs/>
                <w:color w:val="000000"/>
                <w:kern w:val="0"/>
                <w:sz w:val="26"/>
                <w:szCs w:val="28"/>
              </w:rPr>
              <w:t>，貫徹稅捐中立性</w:t>
            </w:r>
          </w:p>
        </w:tc>
        <w:tc>
          <w:tcPr>
            <w:tcW w:w="3402" w:type="dxa"/>
            <w:hideMark/>
          </w:tcPr>
          <w:p w14:paraId="56A2BD89" w14:textId="77777777" w:rsidR="005E5F3E" w:rsidRPr="00011B19"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011B19">
              <w:rPr>
                <w:rFonts w:ascii="Times New Roman" w:eastAsia="標楷體" w:hAnsi="Times New Roman" w:cs="Arial"/>
                <w:b/>
                <w:bCs/>
                <w:color w:val="000000"/>
                <w:kern w:val="0"/>
                <w:sz w:val="26"/>
                <w:szCs w:val="28"/>
              </w:rPr>
              <w:t>(</w:t>
            </w:r>
            <w:proofErr w:type="gramStart"/>
            <w:r w:rsidRPr="00011B19">
              <w:rPr>
                <w:rFonts w:ascii="Times New Roman" w:eastAsia="標楷體" w:hAnsi="Times New Roman" w:cs="Arial"/>
                <w:b/>
                <w:bCs/>
                <w:color w:val="000000"/>
                <w:kern w:val="0"/>
                <w:sz w:val="26"/>
                <w:szCs w:val="28"/>
              </w:rPr>
              <w:t>一</w:t>
            </w:r>
            <w:proofErr w:type="gramEnd"/>
            <w:r w:rsidRPr="00011B19">
              <w:rPr>
                <w:rFonts w:ascii="Times New Roman" w:eastAsia="標楷體" w:hAnsi="Times New Roman" w:cs="Arial"/>
                <w:b/>
                <w:bCs/>
                <w:color w:val="000000"/>
                <w:kern w:val="0"/>
                <w:sz w:val="26"/>
                <w:szCs w:val="28"/>
              </w:rPr>
              <w:t xml:space="preserve">) </w:t>
            </w:r>
            <w:r w:rsidRPr="00011B19">
              <w:rPr>
                <w:rFonts w:ascii="Times New Roman" w:eastAsia="標楷體" w:hAnsi="Times New Roman" w:cs="Arial"/>
                <w:b/>
                <w:bCs/>
                <w:color w:val="000000"/>
                <w:kern w:val="0"/>
                <w:sz w:val="26"/>
                <w:szCs w:val="28"/>
              </w:rPr>
              <w:t>建議財政部主動檢討廢除財政部</w:t>
            </w:r>
            <w:r>
              <w:rPr>
                <w:rFonts w:ascii="Times New Roman" w:eastAsia="標楷體" w:hAnsi="Times New Roman" w:cs="Arial"/>
                <w:b/>
                <w:bCs/>
                <w:color w:val="000000"/>
                <w:kern w:val="0"/>
                <w:sz w:val="26"/>
                <w:szCs w:val="28"/>
              </w:rPr>
              <w:t>1977</w:t>
            </w:r>
            <w:r w:rsidRPr="00011B19">
              <w:rPr>
                <w:rFonts w:ascii="Times New Roman" w:eastAsia="標楷體" w:hAnsi="Times New Roman" w:cs="Arial"/>
                <w:b/>
                <w:bCs/>
                <w:color w:val="000000"/>
                <w:kern w:val="0"/>
                <w:sz w:val="26"/>
                <w:szCs w:val="28"/>
              </w:rPr>
              <w:t>年</w:t>
            </w:r>
            <w:r w:rsidRPr="00011B19">
              <w:rPr>
                <w:rFonts w:ascii="Times New Roman" w:eastAsia="標楷體" w:hAnsi="Times New Roman" w:cs="Arial"/>
                <w:b/>
                <w:bCs/>
                <w:color w:val="000000"/>
                <w:kern w:val="0"/>
                <w:sz w:val="26"/>
                <w:szCs w:val="28"/>
              </w:rPr>
              <w:t>31580</w:t>
            </w:r>
            <w:r w:rsidRPr="00011B19">
              <w:rPr>
                <w:rFonts w:ascii="Times New Roman" w:eastAsia="標楷體" w:hAnsi="Times New Roman" w:cs="Arial"/>
                <w:b/>
                <w:bCs/>
                <w:color w:val="000000"/>
                <w:kern w:val="0"/>
                <w:sz w:val="26"/>
                <w:szCs w:val="28"/>
              </w:rPr>
              <w:t>號函，</w:t>
            </w:r>
            <w:proofErr w:type="gramStart"/>
            <w:r w:rsidRPr="00011B19">
              <w:rPr>
                <w:rFonts w:ascii="Times New Roman" w:eastAsia="標楷體" w:hAnsi="Times New Roman" w:cs="Arial"/>
                <w:b/>
                <w:bCs/>
                <w:color w:val="000000"/>
                <w:kern w:val="0"/>
                <w:sz w:val="26"/>
                <w:szCs w:val="28"/>
              </w:rPr>
              <w:t>釐</w:t>
            </w:r>
            <w:proofErr w:type="gramEnd"/>
            <w:r w:rsidRPr="00011B19">
              <w:rPr>
                <w:rFonts w:ascii="Times New Roman" w:eastAsia="標楷體" w:hAnsi="Times New Roman" w:cs="Arial"/>
                <w:b/>
                <w:bCs/>
                <w:color w:val="000000"/>
                <w:kern w:val="0"/>
                <w:sz w:val="26"/>
                <w:szCs w:val="28"/>
              </w:rPr>
              <w:t>清投資收益不應計入盈虧互抵的扣除金額。</w:t>
            </w:r>
          </w:p>
        </w:tc>
        <w:tc>
          <w:tcPr>
            <w:tcW w:w="709" w:type="dxa"/>
            <w:hideMark/>
          </w:tcPr>
          <w:p w14:paraId="3C4E26A2"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1D2CE3FA" w14:textId="77777777" w:rsidR="005E5F3E" w:rsidRPr="00DC6947"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DC6947">
              <w:rPr>
                <w:rFonts w:ascii="Times New Roman" w:eastAsia="標楷體" w:hAnsi="Times New Roman" w:cs="Arial" w:hint="eastAsia"/>
                <w:b/>
                <w:bCs/>
                <w:color w:val="000000"/>
                <w:kern w:val="0"/>
                <w:sz w:val="26"/>
                <w:szCs w:val="28"/>
              </w:rPr>
              <w:t>財政部</w:t>
            </w:r>
          </w:p>
          <w:p w14:paraId="5E32C077" w14:textId="77777777" w:rsidR="005E5F3E" w:rsidRDefault="005E5F3E" w:rsidP="00C97469">
            <w:pPr>
              <w:pStyle w:val="ab"/>
              <w:numPr>
                <w:ilvl w:val="0"/>
                <w:numId w:val="1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5C0E7C7B" w14:textId="77777777" w:rsidR="005E5F3E" w:rsidRPr="00DC6947" w:rsidRDefault="005E5F3E"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DC6947">
              <w:rPr>
                <w:rFonts w:ascii="Times New Roman" w:eastAsia="標楷體" w:hAnsi="Times New Roman" w:cs="Arial" w:hint="eastAsia"/>
                <w:color w:val="000000"/>
                <w:kern w:val="0"/>
                <w:sz w:val="26"/>
                <w:szCs w:val="26"/>
              </w:rPr>
              <w:t>財政部</w:t>
            </w:r>
            <w:r w:rsidRPr="00DC6947">
              <w:rPr>
                <w:rFonts w:ascii="Times New Roman" w:eastAsia="標楷體" w:hAnsi="Times New Roman" w:cs="Arial" w:hint="eastAsia"/>
                <w:color w:val="000000"/>
                <w:kern w:val="0"/>
                <w:sz w:val="26"/>
                <w:szCs w:val="26"/>
              </w:rPr>
              <w:t>1977</w:t>
            </w:r>
            <w:r w:rsidRPr="00DC6947">
              <w:rPr>
                <w:rFonts w:ascii="Times New Roman" w:eastAsia="標楷體" w:hAnsi="Times New Roman" w:cs="Arial" w:hint="eastAsia"/>
                <w:color w:val="000000"/>
                <w:kern w:val="0"/>
                <w:sz w:val="26"/>
                <w:szCs w:val="26"/>
              </w:rPr>
              <w:t>年</w:t>
            </w:r>
            <w:r w:rsidRPr="00DC6947">
              <w:rPr>
                <w:rFonts w:ascii="Times New Roman" w:eastAsia="標楷體" w:hAnsi="Times New Roman" w:cs="Arial" w:hint="eastAsia"/>
                <w:color w:val="000000"/>
                <w:kern w:val="0"/>
                <w:sz w:val="26"/>
                <w:szCs w:val="26"/>
              </w:rPr>
              <w:t>3</w:t>
            </w:r>
            <w:r w:rsidRPr="00DC6947">
              <w:rPr>
                <w:rFonts w:ascii="Times New Roman" w:eastAsia="標楷體" w:hAnsi="Times New Roman" w:cs="Arial" w:hint="eastAsia"/>
                <w:color w:val="000000"/>
                <w:kern w:val="0"/>
                <w:sz w:val="26"/>
                <w:szCs w:val="26"/>
              </w:rPr>
              <w:t>月</w:t>
            </w:r>
            <w:r w:rsidRPr="00DC6947">
              <w:rPr>
                <w:rFonts w:ascii="Times New Roman" w:eastAsia="標楷體" w:hAnsi="Times New Roman" w:cs="Arial" w:hint="eastAsia"/>
                <w:color w:val="000000"/>
                <w:kern w:val="0"/>
                <w:sz w:val="26"/>
                <w:szCs w:val="26"/>
              </w:rPr>
              <w:t>9</w:t>
            </w:r>
            <w:r w:rsidRPr="00DC6947">
              <w:rPr>
                <w:rFonts w:ascii="Times New Roman" w:eastAsia="標楷體" w:hAnsi="Times New Roman" w:cs="Arial" w:hint="eastAsia"/>
                <w:color w:val="000000"/>
                <w:kern w:val="0"/>
                <w:sz w:val="26"/>
                <w:szCs w:val="26"/>
              </w:rPr>
              <w:t>日</w:t>
            </w:r>
            <w:proofErr w:type="gramStart"/>
            <w:r w:rsidRPr="00DC6947">
              <w:rPr>
                <w:rFonts w:ascii="Times New Roman" w:eastAsia="標楷體" w:hAnsi="Times New Roman" w:cs="Arial" w:hint="eastAsia"/>
                <w:color w:val="000000"/>
                <w:kern w:val="0"/>
                <w:sz w:val="26"/>
                <w:szCs w:val="26"/>
              </w:rPr>
              <w:t>臺</w:t>
            </w:r>
            <w:proofErr w:type="gramEnd"/>
            <w:r w:rsidRPr="00DC6947">
              <w:rPr>
                <w:rFonts w:ascii="Times New Roman" w:eastAsia="標楷體" w:hAnsi="Times New Roman" w:cs="Arial" w:hint="eastAsia"/>
                <w:color w:val="000000"/>
                <w:kern w:val="0"/>
                <w:sz w:val="26"/>
                <w:szCs w:val="26"/>
              </w:rPr>
              <w:t>財稅第</w:t>
            </w:r>
            <w:r w:rsidRPr="00DC6947">
              <w:rPr>
                <w:rFonts w:ascii="Times New Roman" w:eastAsia="標楷體" w:hAnsi="Times New Roman" w:cs="Arial" w:hint="eastAsia"/>
                <w:color w:val="000000"/>
                <w:kern w:val="0"/>
                <w:sz w:val="26"/>
                <w:szCs w:val="26"/>
              </w:rPr>
              <w:t>31580</w:t>
            </w:r>
            <w:r w:rsidRPr="00DC6947">
              <w:rPr>
                <w:rFonts w:ascii="Times New Roman" w:eastAsia="標楷體" w:hAnsi="Times New Roman" w:cs="Arial" w:hint="eastAsia"/>
                <w:color w:val="000000"/>
                <w:kern w:val="0"/>
                <w:sz w:val="26"/>
                <w:szCs w:val="26"/>
              </w:rPr>
              <w:t>號函規定，符合跨年度盈虧互抵正確衡量實質稅負能力之立法目的</w:t>
            </w:r>
          </w:p>
          <w:p w14:paraId="32CA6010" w14:textId="77777777" w:rsidR="005E5F3E" w:rsidRDefault="005E5F3E" w:rsidP="00C97469">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C6947">
              <w:rPr>
                <w:rFonts w:ascii="Times New Roman" w:eastAsia="標楷體" w:hAnsi="Times New Roman" w:cs="Arial" w:hint="eastAsia"/>
                <w:color w:val="000000"/>
                <w:kern w:val="0"/>
                <w:sz w:val="26"/>
                <w:szCs w:val="26"/>
              </w:rPr>
              <w:t>依憲法法庭</w:t>
            </w:r>
            <w:proofErr w:type="gramStart"/>
            <w:r>
              <w:rPr>
                <w:rFonts w:ascii="Times New Roman" w:eastAsia="標楷體" w:hAnsi="Times New Roman" w:cs="Arial"/>
                <w:color w:val="000000"/>
                <w:kern w:val="0"/>
                <w:sz w:val="26"/>
                <w:szCs w:val="26"/>
              </w:rPr>
              <w:t>111</w:t>
            </w:r>
            <w:r w:rsidRPr="00DC6947">
              <w:rPr>
                <w:rFonts w:ascii="Times New Roman" w:eastAsia="標楷體" w:hAnsi="Times New Roman" w:cs="Arial" w:hint="eastAsia"/>
                <w:color w:val="000000"/>
                <w:kern w:val="0"/>
                <w:sz w:val="26"/>
                <w:szCs w:val="26"/>
              </w:rPr>
              <w:t>年</w:t>
            </w:r>
            <w:r w:rsidRPr="00DC6947">
              <w:rPr>
                <w:rFonts w:ascii="Times New Roman" w:eastAsia="標楷體" w:hAnsi="Times New Roman" w:cs="Arial" w:hint="eastAsia"/>
                <w:color w:val="000000"/>
                <w:kern w:val="0"/>
                <w:sz w:val="26"/>
                <w:szCs w:val="26"/>
              </w:rPr>
              <w:t>4</w:t>
            </w:r>
            <w:r w:rsidRPr="00DC6947">
              <w:rPr>
                <w:rFonts w:ascii="Times New Roman" w:eastAsia="標楷體" w:hAnsi="Times New Roman" w:cs="Arial" w:hint="eastAsia"/>
                <w:color w:val="000000"/>
                <w:kern w:val="0"/>
                <w:sz w:val="26"/>
                <w:szCs w:val="26"/>
              </w:rPr>
              <w:t>月</w:t>
            </w:r>
            <w:r w:rsidRPr="00DC6947">
              <w:rPr>
                <w:rFonts w:ascii="Times New Roman" w:eastAsia="標楷體" w:hAnsi="Times New Roman" w:cs="Arial" w:hint="eastAsia"/>
                <w:color w:val="000000"/>
                <w:kern w:val="0"/>
                <w:sz w:val="26"/>
                <w:szCs w:val="26"/>
              </w:rPr>
              <w:t>29</w:t>
            </w:r>
            <w:r w:rsidRPr="00DC6947">
              <w:rPr>
                <w:rFonts w:ascii="Times New Roman" w:eastAsia="標楷體" w:hAnsi="Times New Roman" w:cs="Arial" w:hint="eastAsia"/>
                <w:color w:val="000000"/>
                <w:kern w:val="0"/>
                <w:sz w:val="26"/>
                <w:szCs w:val="26"/>
              </w:rPr>
              <w:t>日憲判字</w:t>
            </w:r>
            <w:proofErr w:type="gramEnd"/>
            <w:r w:rsidRPr="00DC6947">
              <w:rPr>
                <w:rFonts w:ascii="Times New Roman" w:eastAsia="標楷體" w:hAnsi="Times New Roman" w:cs="Arial" w:hint="eastAsia"/>
                <w:color w:val="000000"/>
                <w:kern w:val="0"/>
                <w:sz w:val="26"/>
                <w:szCs w:val="26"/>
              </w:rPr>
              <w:t>第</w:t>
            </w:r>
            <w:r w:rsidRPr="00DC6947">
              <w:rPr>
                <w:rFonts w:ascii="Times New Roman" w:eastAsia="標楷體" w:hAnsi="Times New Roman" w:cs="Arial" w:hint="eastAsia"/>
                <w:color w:val="000000"/>
                <w:kern w:val="0"/>
                <w:sz w:val="26"/>
                <w:szCs w:val="26"/>
              </w:rPr>
              <w:t>5</w:t>
            </w:r>
            <w:r w:rsidRPr="00DC6947">
              <w:rPr>
                <w:rFonts w:ascii="Times New Roman" w:eastAsia="標楷體" w:hAnsi="Times New Roman" w:cs="Arial" w:hint="eastAsia"/>
                <w:color w:val="000000"/>
                <w:kern w:val="0"/>
                <w:sz w:val="26"/>
                <w:szCs w:val="26"/>
              </w:rPr>
              <w:t>號判決意旨</w:t>
            </w:r>
            <w:r w:rsidRPr="004A5A0F">
              <w:rPr>
                <w:rFonts w:ascii="Times New Roman" w:eastAsia="標楷體" w:hAnsi="Times New Roman" w:cs="Arial" w:hint="eastAsia"/>
                <w:color w:val="000000"/>
                <w:kern w:val="0"/>
                <w:sz w:val="26"/>
                <w:szCs w:val="26"/>
              </w:rPr>
              <w:t>（</w:t>
            </w:r>
            <w:r w:rsidRPr="00DC6947">
              <w:rPr>
                <w:rFonts w:ascii="Times New Roman" w:eastAsia="標楷體" w:hAnsi="Times New Roman" w:cs="Arial" w:hint="eastAsia"/>
                <w:color w:val="000000"/>
                <w:kern w:val="0"/>
                <w:sz w:val="26"/>
                <w:szCs w:val="26"/>
              </w:rPr>
              <w:t>主文及第</w:t>
            </w:r>
            <w:r w:rsidRPr="00DC6947">
              <w:rPr>
                <w:rFonts w:ascii="Times New Roman" w:eastAsia="標楷體" w:hAnsi="Times New Roman" w:cs="Arial" w:hint="eastAsia"/>
                <w:color w:val="000000"/>
                <w:kern w:val="0"/>
                <w:sz w:val="26"/>
                <w:szCs w:val="26"/>
              </w:rPr>
              <w:t>19</w:t>
            </w:r>
            <w:r w:rsidRPr="00DC6947">
              <w:rPr>
                <w:rFonts w:ascii="Times New Roman" w:eastAsia="標楷體" w:hAnsi="Times New Roman" w:cs="Arial" w:hint="eastAsia"/>
                <w:color w:val="000000"/>
                <w:kern w:val="0"/>
                <w:sz w:val="26"/>
                <w:szCs w:val="26"/>
              </w:rPr>
              <w:t>段參照</w:t>
            </w:r>
            <w:r w:rsidRPr="004A5A0F">
              <w:rPr>
                <w:rFonts w:ascii="Times New Roman" w:eastAsia="標楷體" w:hAnsi="Times New Roman" w:cs="Arial" w:hint="eastAsia"/>
                <w:color w:val="000000"/>
                <w:kern w:val="0"/>
                <w:sz w:val="26"/>
                <w:szCs w:val="26"/>
              </w:rPr>
              <w:t>）</w:t>
            </w:r>
            <w:r w:rsidRPr="00DC6947">
              <w:rPr>
                <w:rFonts w:ascii="Times New Roman" w:eastAsia="標楷體" w:hAnsi="Times New Roman" w:cs="Arial" w:hint="eastAsia"/>
                <w:color w:val="000000"/>
                <w:kern w:val="0"/>
                <w:sz w:val="26"/>
                <w:szCs w:val="26"/>
              </w:rPr>
              <w:t>，上開財政部</w:t>
            </w:r>
            <w:r w:rsidRPr="00DC6947">
              <w:rPr>
                <w:rFonts w:ascii="Times New Roman" w:eastAsia="標楷體" w:hAnsi="Times New Roman" w:cs="Arial" w:hint="eastAsia"/>
                <w:color w:val="000000"/>
                <w:kern w:val="0"/>
                <w:sz w:val="26"/>
                <w:szCs w:val="26"/>
              </w:rPr>
              <w:t>1977</w:t>
            </w:r>
            <w:r w:rsidRPr="00DC6947">
              <w:rPr>
                <w:rFonts w:ascii="Times New Roman" w:eastAsia="標楷體" w:hAnsi="Times New Roman" w:cs="Arial" w:hint="eastAsia"/>
                <w:color w:val="000000"/>
                <w:kern w:val="0"/>
                <w:sz w:val="26"/>
                <w:szCs w:val="26"/>
              </w:rPr>
              <w:t>年函係基於正確衡量營利事業實際盈虧所示實質稅負能力，釋示應將各該虧損年度依所得稅法第</w:t>
            </w:r>
            <w:r w:rsidRPr="00DC6947">
              <w:rPr>
                <w:rFonts w:ascii="Times New Roman" w:eastAsia="標楷體" w:hAnsi="Times New Roman" w:cs="Arial" w:hint="eastAsia"/>
                <w:color w:val="000000"/>
                <w:kern w:val="0"/>
                <w:sz w:val="26"/>
                <w:szCs w:val="26"/>
              </w:rPr>
              <w:t>42</w:t>
            </w:r>
            <w:r w:rsidRPr="00DC6947">
              <w:rPr>
                <w:rFonts w:ascii="Times New Roman" w:eastAsia="標楷體" w:hAnsi="Times New Roman" w:cs="Arial" w:hint="eastAsia"/>
                <w:color w:val="000000"/>
                <w:kern w:val="0"/>
                <w:sz w:val="26"/>
                <w:szCs w:val="26"/>
              </w:rPr>
              <w:t>條不計入所得額之投資收益，先</w:t>
            </w:r>
            <w:proofErr w:type="gramStart"/>
            <w:r w:rsidRPr="00DC6947">
              <w:rPr>
                <w:rFonts w:ascii="Times New Roman" w:eastAsia="標楷體" w:hAnsi="Times New Roman" w:cs="Arial" w:hint="eastAsia"/>
                <w:color w:val="000000"/>
                <w:kern w:val="0"/>
                <w:sz w:val="26"/>
                <w:szCs w:val="26"/>
              </w:rPr>
              <w:t>抵減各該</w:t>
            </w:r>
            <w:proofErr w:type="gramEnd"/>
            <w:r w:rsidRPr="00DC6947">
              <w:rPr>
                <w:rFonts w:ascii="Times New Roman" w:eastAsia="標楷體" w:hAnsi="Times New Roman" w:cs="Arial" w:hint="eastAsia"/>
                <w:color w:val="000000"/>
                <w:kern w:val="0"/>
                <w:sz w:val="26"/>
                <w:szCs w:val="26"/>
              </w:rPr>
              <w:t>期虧損數，以計算實際營業虧損，符合同法第</w:t>
            </w:r>
            <w:r w:rsidRPr="00DC6947">
              <w:rPr>
                <w:rFonts w:ascii="Times New Roman" w:eastAsia="標楷體" w:hAnsi="Times New Roman" w:cs="Arial" w:hint="eastAsia"/>
                <w:color w:val="000000"/>
                <w:kern w:val="0"/>
                <w:sz w:val="26"/>
                <w:szCs w:val="26"/>
              </w:rPr>
              <w:t>39</w:t>
            </w:r>
            <w:r w:rsidRPr="00DC6947">
              <w:rPr>
                <w:rFonts w:ascii="Times New Roman" w:eastAsia="標楷體" w:hAnsi="Times New Roman" w:cs="Arial" w:hint="eastAsia"/>
                <w:color w:val="000000"/>
                <w:kern w:val="0"/>
                <w:sz w:val="26"/>
                <w:szCs w:val="26"/>
              </w:rPr>
              <w:t>條第</w:t>
            </w:r>
            <w:r w:rsidRPr="00DC6947">
              <w:rPr>
                <w:rFonts w:ascii="Times New Roman" w:eastAsia="標楷體" w:hAnsi="Times New Roman" w:cs="Arial" w:hint="eastAsia"/>
                <w:color w:val="000000"/>
                <w:kern w:val="0"/>
                <w:sz w:val="26"/>
                <w:szCs w:val="26"/>
              </w:rPr>
              <w:t>1</w:t>
            </w:r>
            <w:r w:rsidRPr="00DC6947">
              <w:rPr>
                <w:rFonts w:ascii="Times New Roman" w:eastAsia="標楷體" w:hAnsi="Times New Roman" w:cs="Arial" w:hint="eastAsia"/>
                <w:color w:val="000000"/>
                <w:kern w:val="0"/>
                <w:sz w:val="26"/>
                <w:szCs w:val="26"/>
              </w:rPr>
              <w:t>項但書跨年度盈虧互抵制度正確衡量稅負能力立法目的，與憲法第</w:t>
            </w:r>
            <w:r w:rsidRPr="00DC6947">
              <w:rPr>
                <w:rFonts w:ascii="Times New Roman" w:eastAsia="標楷體" w:hAnsi="Times New Roman" w:cs="Arial" w:hint="eastAsia"/>
                <w:color w:val="000000"/>
                <w:kern w:val="0"/>
                <w:sz w:val="26"/>
                <w:szCs w:val="26"/>
              </w:rPr>
              <w:t>19</w:t>
            </w:r>
            <w:r w:rsidRPr="00DC6947">
              <w:rPr>
                <w:rFonts w:ascii="Times New Roman" w:eastAsia="標楷體" w:hAnsi="Times New Roman" w:cs="Arial" w:hint="eastAsia"/>
                <w:color w:val="000000"/>
                <w:kern w:val="0"/>
                <w:sz w:val="26"/>
                <w:szCs w:val="26"/>
              </w:rPr>
              <w:t>條租稅法律主義尚無牴觸。</w:t>
            </w:r>
          </w:p>
          <w:p w14:paraId="18D41670" w14:textId="77777777" w:rsidR="005E5F3E" w:rsidRPr="00DC6947" w:rsidRDefault="005E5F3E" w:rsidP="00C97469">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C6947">
              <w:rPr>
                <w:rFonts w:ascii="Times New Roman" w:eastAsia="標楷體" w:hAnsi="Times New Roman" w:cs="Arial" w:hint="eastAsia"/>
                <w:color w:val="000000"/>
                <w:kern w:val="0"/>
                <w:sz w:val="26"/>
                <w:szCs w:val="26"/>
              </w:rPr>
              <w:t>上開跨年度盈虧互抵制度，因涉及人民租稅負擔，有關</w:t>
            </w:r>
            <w:proofErr w:type="gramStart"/>
            <w:r w:rsidRPr="00DC6947">
              <w:rPr>
                <w:rFonts w:ascii="Times New Roman" w:eastAsia="標楷體" w:hAnsi="Times New Roman" w:cs="Arial" w:hint="eastAsia"/>
                <w:color w:val="000000"/>
                <w:kern w:val="0"/>
                <w:sz w:val="26"/>
                <w:szCs w:val="26"/>
              </w:rPr>
              <w:t>稽</w:t>
            </w:r>
            <w:proofErr w:type="gramEnd"/>
            <w:r w:rsidRPr="00DC6947">
              <w:rPr>
                <w:rFonts w:ascii="Times New Roman" w:eastAsia="標楷體" w:hAnsi="Times New Roman" w:cs="Arial" w:hint="eastAsia"/>
                <w:color w:val="000000"/>
                <w:kern w:val="0"/>
                <w:sz w:val="26"/>
                <w:szCs w:val="26"/>
              </w:rPr>
              <w:t>徵機關核定各期虧損基準，仍以法律或法律具體明確授權之命令予以明定為宜。依此，財政部</w:t>
            </w:r>
            <w:r w:rsidRPr="00DC6947">
              <w:rPr>
                <w:rFonts w:ascii="Times New Roman" w:eastAsia="標楷體" w:hAnsi="Times New Roman" w:cs="Arial" w:hint="eastAsia"/>
                <w:color w:val="000000"/>
                <w:kern w:val="0"/>
                <w:sz w:val="26"/>
                <w:szCs w:val="26"/>
              </w:rPr>
              <w:t>2023</w:t>
            </w:r>
            <w:r w:rsidRPr="00DC6947">
              <w:rPr>
                <w:rFonts w:ascii="Times New Roman" w:eastAsia="標楷體" w:hAnsi="Times New Roman" w:cs="Arial" w:hint="eastAsia"/>
                <w:color w:val="000000"/>
                <w:kern w:val="0"/>
                <w:sz w:val="26"/>
                <w:szCs w:val="26"/>
              </w:rPr>
              <w:t>年</w:t>
            </w:r>
            <w:r w:rsidRPr="00DC6947">
              <w:rPr>
                <w:rFonts w:ascii="Times New Roman" w:eastAsia="標楷體" w:hAnsi="Times New Roman" w:cs="Arial" w:hint="eastAsia"/>
                <w:color w:val="000000"/>
                <w:kern w:val="0"/>
                <w:sz w:val="26"/>
                <w:szCs w:val="26"/>
              </w:rPr>
              <w:t>12</w:t>
            </w:r>
            <w:r w:rsidRPr="00DC6947">
              <w:rPr>
                <w:rFonts w:ascii="Times New Roman" w:eastAsia="標楷體" w:hAnsi="Times New Roman" w:cs="Arial" w:hint="eastAsia"/>
                <w:color w:val="000000"/>
                <w:kern w:val="0"/>
                <w:sz w:val="26"/>
                <w:szCs w:val="26"/>
              </w:rPr>
              <w:t>月</w:t>
            </w:r>
            <w:r w:rsidRPr="00DC6947">
              <w:rPr>
                <w:rFonts w:ascii="Times New Roman" w:eastAsia="標楷體" w:hAnsi="Times New Roman" w:cs="Arial" w:hint="eastAsia"/>
                <w:color w:val="000000"/>
                <w:kern w:val="0"/>
                <w:sz w:val="26"/>
                <w:szCs w:val="26"/>
              </w:rPr>
              <w:t>11</w:t>
            </w:r>
            <w:r w:rsidRPr="00DC6947">
              <w:rPr>
                <w:rFonts w:ascii="Times New Roman" w:eastAsia="標楷體" w:hAnsi="Times New Roman" w:cs="Arial" w:hint="eastAsia"/>
                <w:color w:val="000000"/>
                <w:kern w:val="0"/>
                <w:sz w:val="26"/>
                <w:szCs w:val="26"/>
              </w:rPr>
              <w:t>日修正發布營所稅查核準則增訂第</w:t>
            </w:r>
            <w:r w:rsidRPr="00DC6947">
              <w:rPr>
                <w:rFonts w:ascii="Times New Roman" w:eastAsia="標楷體" w:hAnsi="Times New Roman" w:cs="Arial" w:hint="eastAsia"/>
                <w:color w:val="000000"/>
                <w:kern w:val="0"/>
                <w:sz w:val="26"/>
                <w:szCs w:val="26"/>
              </w:rPr>
              <w:t>111</w:t>
            </w:r>
            <w:r w:rsidRPr="00DC6947">
              <w:rPr>
                <w:rFonts w:ascii="Times New Roman" w:eastAsia="標楷體" w:hAnsi="Times New Roman" w:cs="Arial" w:hint="eastAsia"/>
                <w:color w:val="000000"/>
                <w:kern w:val="0"/>
                <w:sz w:val="26"/>
                <w:szCs w:val="26"/>
              </w:rPr>
              <w:t>條之</w:t>
            </w:r>
            <w:r w:rsidRPr="00DC6947">
              <w:rPr>
                <w:rFonts w:ascii="Times New Roman" w:eastAsia="標楷體" w:hAnsi="Times New Roman" w:cs="Arial" w:hint="eastAsia"/>
                <w:color w:val="000000"/>
                <w:kern w:val="0"/>
                <w:sz w:val="26"/>
                <w:szCs w:val="26"/>
              </w:rPr>
              <w:t>2</w:t>
            </w:r>
            <w:r w:rsidRPr="00DC6947">
              <w:rPr>
                <w:rFonts w:ascii="Times New Roman" w:eastAsia="標楷體" w:hAnsi="Times New Roman" w:cs="Arial" w:hint="eastAsia"/>
                <w:color w:val="000000"/>
                <w:kern w:val="0"/>
                <w:sz w:val="26"/>
                <w:szCs w:val="26"/>
              </w:rPr>
              <w:t>，定明營利事業得自當年度純益額中扣除之</w:t>
            </w:r>
            <w:proofErr w:type="gramStart"/>
            <w:r w:rsidRPr="00DC6947">
              <w:rPr>
                <w:rFonts w:ascii="Times New Roman" w:eastAsia="標楷體" w:hAnsi="Times New Roman" w:cs="Arial" w:hint="eastAsia"/>
                <w:color w:val="000000"/>
                <w:kern w:val="0"/>
                <w:sz w:val="26"/>
                <w:szCs w:val="26"/>
              </w:rPr>
              <w:t>稽</w:t>
            </w:r>
            <w:proofErr w:type="gramEnd"/>
            <w:r w:rsidRPr="00DC6947">
              <w:rPr>
                <w:rFonts w:ascii="Times New Roman" w:eastAsia="標楷體" w:hAnsi="Times New Roman" w:cs="Arial" w:hint="eastAsia"/>
                <w:color w:val="000000"/>
                <w:kern w:val="0"/>
                <w:sz w:val="26"/>
                <w:szCs w:val="26"/>
              </w:rPr>
              <w:t>徵機關核定各期虧損範圍，</w:t>
            </w:r>
            <w:proofErr w:type="gramStart"/>
            <w:r w:rsidRPr="00DC6947">
              <w:rPr>
                <w:rFonts w:ascii="Times New Roman" w:eastAsia="標楷體" w:hAnsi="Times New Roman" w:cs="Arial" w:hint="eastAsia"/>
                <w:color w:val="000000"/>
                <w:kern w:val="0"/>
                <w:sz w:val="26"/>
                <w:szCs w:val="26"/>
              </w:rPr>
              <w:t>俾符上</w:t>
            </w:r>
            <w:proofErr w:type="gramEnd"/>
            <w:r w:rsidRPr="00DC6947">
              <w:rPr>
                <w:rFonts w:ascii="Times New Roman" w:eastAsia="標楷體" w:hAnsi="Times New Roman" w:cs="Arial" w:hint="eastAsia"/>
                <w:color w:val="000000"/>
                <w:kern w:val="0"/>
                <w:sz w:val="26"/>
                <w:szCs w:val="26"/>
              </w:rPr>
              <w:t>開判決意旨。</w:t>
            </w:r>
          </w:p>
          <w:p w14:paraId="1B6D8B40" w14:textId="77777777" w:rsidR="005E5F3E" w:rsidRPr="00ED4851" w:rsidRDefault="005E5F3E" w:rsidP="00C97469">
            <w:pPr>
              <w:pStyle w:val="ab"/>
              <w:numPr>
                <w:ilvl w:val="0"/>
                <w:numId w:val="1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lastRenderedPageBreak/>
              <w:t>涉及法規</w:t>
            </w:r>
            <w:r>
              <w:rPr>
                <w:rFonts w:ascii="Times New Roman" w:eastAsia="標楷體" w:hAnsi="Times New Roman" w:cs="Arial" w:hint="eastAsia"/>
                <w:color w:val="000000"/>
                <w:kern w:val="0"/>
                <w:sz w:val="26"/>
                <w:szCs w:val="26"/>
              </w:rPr>
              <w:t>：</w:t>
            </w:r>
            <w:r w:rsidRPr="0048664F">
              <w:rPr>
                <w:rFonts w:ascii="Times New Roman" w:eastAsia="標楷體" w:hAnsi="Times New Roman" w:cs="Arial" w:hint="eastAsia"/>
                <w:color w:val="000000"/>
                <w:kern w:val="0"/>
                <w:sz w:val="26"/>
                <w:szCs w:val="26"/>
              </w:rPr>
              <w:t>憲法法庭</w:t>
            </w:r>
            <w:proofErr w:type="gramStart"/>
            <w:r>
              <w:rPr>
                <w:rFonts w:ascii="Times New Roman" w:eastAsia="標楷體" w:hAnsi="Times New Roman" w:cs="Arial"/>
                <w:color w:val="000000"/>
                <w:kern w:val="0"/>
                <w:sz w:val="26"/>
                <w:szCs w:val="26"/>
              </w:rPr>
              <w:t>111</w:t>
            </w:r>
            <w:r w:rsidRPr="0048664F">
              <w:rPr>
                <w:rFonts w:ascii="Times New Roman" w:eastAsia="標楷體" w:hAnsi="Times New Roman" w:cs="Arial" w:hint="eastAsia"/>
                <w:color w:val="000000"/>
                <w:kern w:val="0"/>
                <w:sz w:val="26"/>
                <w:szCs w:val="26"/>
              </w:rPr>
              <w:t>年憲判字</w:t>
            </w:r>
            <w:proofErr w:type="gramEnd"/>
            <w:r w:rsidRPr="0048664F">
              <w:rPr>
                <w:rFonts w:ascii="Times New Roman" w:eastAsia="標楷體" w:hAnsi="Times New Roman" w:cs="Arial" w:hint="eastAsia"/>
                <w:color w:val="000000"/>
                <w:kern w:val="0"/>
                <w:sz w:val="26"/>
                <w:szCs w:val="26"/>
              </w:rPr>
              <w:t>第</w:t>
            </w:r>
            <w:r w:rsidRPr="0048664F">
              <w:rPr>
                <w:rFonts w:ascii="Times New Roman" w:eastAsia="標楷體" w:hAnsi="Times New Roman" w:cs="Arial" w:hint="eastAsia"/>
                <w:color w:val="000000"/>
                <w:kern w:val="0"/>
                <w:sz w:val="26"/>
                <w:szCs w:val="26"/>
              </w:rPr>
              <w:t>5</w:t>
            </w:r>
            <w:r w:rsidRPr="0048664F">
              <w:rPr>
                <w:rFonts w:ascii="Times New Roman" w:eastAsia="標楷體" w:hAnsi="Times New Roman" w:cs="Arial" w:hint="eastAsia"/>
                <w:color w:val="000000"/>
                <w:kern w:val="0"/>
                <w:sz w:val="26"/>
                <w:szCs w:val="26"/>
              </w:rPr>
              <w:t>號、所得稅法第</w:t>
            </w:r>
            <w:r w:rsidRPr="0048664F">
              <w:rPr>
                <w:rFonts w:ascii="Times New Roman" w:eastAsia="標楷體" w:hAnsi="Times New Roman" w:cs="Arial" w:hint="eastAsia"/>
                <w:color w:val="000000"/>
                <w:kern w:val="0"/>
                <w:sz w:val="26"/>
                <w:szCs w:val="26"/>
              </w:rPr>
              <w:t>39</w:t>
            </w:r>
            <w:r w:rsidRPr="0048664F">
              <w:rPr>
                <w:rFonts w:ascii="Times New Roman" w:eastAsia="標楷體" w:hAnsi="Times New Roman" w:cs="Arial" w:hint="eastAsia"/>
                <w:color w:val="000000"/>
                <w:kern w:val="0"/>
                <w:sz w:val="26"/>
                <w:szCs w:val="26"/>
              </w:rPr>
              <w:t>條及第</w:t>
            </w:r>
            <w:r w:rsidRPr="0048664F">
              <w:rPr>
                <w:rFonts w:ascii="Times New Roman" w:eastAsia="標楷體" w:hAnsi="Times New Roman" w:cs="Arial" w:hint="eastAsia"/>
                <w:color w:val="000000"/>
                <w:kern w:val="0"/>
                <w:sz w:val="26"/>
                <w:szCs w:val="26"/>
              </w:rPr>
              <w:t>42</w:t>
            </w:r>
            <w:r w:rsidRPr="0048664F">
              <w:rPr>
                <w:rFonts w:ascii="Times New Roman" w:eastAsia="標楷體" w:hAnsi="Times New Roman" w:cs="Arial" w:hint="eastAsia"/>
                <w:color w:val="000000"/>
                <w:kern w:val="0"/>
                <w:sz w:val="26"/>
                <w:szCs w:val="26"/>
              </w:rPr>
              <w:t>條、財政部</w:t>
            </w:r>
            <w:r w:rsidRPr="0048664F">
              <w:rPr>
                <w:rFonts w:ascii="Times New Roman" w:eastAsia="標楷體" w:hAnsi="Times New Roman" w:cs="Arial" w:hint="eastAsia"/>
                <w:color w:val="000000"/>
                <w:kern w:val="0"/>
                <w:sz w:val="26"/>
                <w:szCs w:val="26"/>
              </w:rPr>
              <w:t>1977</w:t>
            </w:r>
            <w:r w:rsidRPr="0048664F">
              <w:rPr>
                <w:rFonts w:ascii="Times New Roman" w:eastAsia="標楷體" w:hAnsi="Times New Roman" w:cs="Arial" w:hint="eastAsia"/>
                <w:color w:val="000000"/>
                <w:kern w:val="0"/>
                <w:sz w:val="26"/>
                <w:szCs w:val="26"/>
              </w:rPr>
              <w:t>年</w:t>
            </w:r>
            <w:r w:rsidRPr="0048664F">
              <w:rPr>
                <w:rFonts w:ascii="Times New Roman" w:eastAsia="標楷體" w:hAnsi="Times New Roman" w:cs="Arial" w:hint="eastAsia"/>
                <w:color w:val="000000"/>
                <w:kern w:val="0"/>
                <w:sz w:val="26"/>
                <w:szCs w:val="26"/>
              </w:rPr>
              <w:t>3</w:t>
            </w:r>
            <w:r w:rsidRPr="0048664F">
              <w:rPr>
                <w:rFonts w:ascii="Times New Roman" w:eastAsia="標楷體" w:hAnsi="Times New Roman" w:cs="Arial" w:hint="eastAsia"/>
                <w:color w:val="000000"/>
                <w:kern w:val="0"/>
                <w:sz w:val="26"/>
                <w:szCs w:val="26"/>
              </w:rPr>
              <w:t>月</w:t>
            </w:r>
            <w:r w:rsidRPr="0048664F">
              <w:rPr>
                <w:rFonts w:ascii="Times New Roman" w:eastAsia="標楷體" w:hAnsi="Times New Roman" w:cs="Arial" w:hint="eastAsia"/>
                <w:color w:val="000000"/>
                <w:kern w:val="0"/>
                <w:sz w:val="26"/>
                <w:szCs w:val="26"/>
              </w:rPr>
              <w:t>9</w:t>
            </w:r>
            <w:r w:rsidRPr="0048664F">
              <w:rPr>
                <w:rFonts w:ascii="Times New Roman" w:eastAsia="標楷體" w:hAnsi="Times New Roman" w:cs="Arial" w:hint="eastAsia"/>
                <w:color w:val="000000"/>
                <w:kern w:val="0"/>
                <w:sz w:val="26"/>
                <w:szCs w:val="26"/>
              </w:rPr>
              <w:t>日</w:t>
            </w:r>
            <w:proofErr w:type="gramStart"/>
            <w:r w:rsidRPr="0048664F">
              <w:rPr>
                <w:rFonts w:ascii="Times New Roman" w:eastAsia="標楷體" w:hAnsi="Times New Roman" w:cs="Arial" w:hint="eastAsia"/>
                <w:color w:val="000000"/>
                <w:kern w:val="0"/>
                <w:sz w:val="26"/>
                <w:szCs w:val="26"/>
              </w:rPr>
              <w:t>臺</w:t>
            </w:r>
            <w:proofErr w:type="gramEnd"/>
            <w:r w:rsidRPr="0048664F">
              <w:rPr>
                <w:rFonts w:ascii="Times New Roman" w:eastAsia="標楷體" w:hAnsi="Times New Roman" w:cs="Arial" w:hint="eastAsia"/>
                <w:color w:val="000000"/>
                <w:kern w:val="0"/>
                <w:sz w:val="26"/>
                <w:szCs w:val="26"/>
              </w:rPr>
              <w:t>財稅第</w:t>
            </w:r>
            <w:r w:rsidRPr="0048664F">
              <w:rPr>
                <w:rFonts w:ascii="Times New Roman" w:eastAsia="標楷體" w:hAnsi="Times New Roman" w:cs="Arial" w:hint="eastAsia"/>
                <w:color w:val="000000"/>
                <w:kern w:val="0"/>
                <w:sz w:val="26"/>
                <w:szCs w:val="26"/>
              </w:rPr>
              <w:t>31580</w:t>
            </w:r>
            <w:r w:rsidRPr="0048664F">
              <w:rPr>
                <w:rFonts w:ascii="Times New Roman" w:eastAsia="標楷體" w:hAnsi="Times New Roman" w:cs="Arial" w:hint="eastAsia"/>
                <w:color w:val="000000"/>
                <w:kern w:val="0"/>
                <w:sz w:val="26"/>
                <w:szCs w:val="26"/>
              </w:rPr>
              <w:t>號函、營利事業所得稅查核準則第</w:t>
            </w:r>
            <w:r w:rsidRPr="0048664F">
              <w:rPr>
                <w:rFonts w:ascii="Times New Roman" w:eastAsia="標楷體" w:hAnsi="Times New Roman" w:cs="Arial" w:hint="eastAsia"/>
                <w:color w:val="000000"/>
                <w:kern w:val="0"/>
                <w:sz w:val="26"/>
                <w:szCs w:val="26"/>
              </w:rPr>
              <w:t>111</w:t>
            </w:r>
            <w:r w:rsidRPr="0048664F">
              <w:rPr>
                <w:rFonts w:ascii="Times New Roman" w:eastAsia="標楷體" w:hAnsi="Times New Roman" w:cs="Arial" w:hint="eastAsia"/>
                <w:color w:val="000000"/>
                <w:kern w:val="0"/>
                <w:sz w:val="26"/>
                <w:szCs w:val="26"/>
              </w:rPr>
              <w:t>條之</w:t>
            </w:r>
            <w:r w:rsidRPr="0048664F">
              <w:rPr>
                <w:rFonts w:ascii="Times New Roman" w:eastAsia="標楷體" w:hAnsi="Times New Roman" w:cs="Arial" w:hint="eastAsia"/>
                <w:color w:val="000000"/>
                <w:kern w:val="0"/>
                <w:sz w:val="26"/>
                <w:szCs w:val="26"/>
              </w:rPr>
              <w:t>2</w:t>
            </w:r>
          </w:p>
        </w:tc>
        <w:tc>
          <w:tcPr>
            <w:tcW w:w="1417" w:type="dxa"/>
            <w:noWrap/>
          </w:tcPr>
          <w:p w14:paraId="5483D171"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73757828"/>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6006C8EC"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00178665"/>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7F56DCA6"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35182911"/>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425BC11E"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38214192"/>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7787ABC1" w14:textId="77777777" w:rsidTr="00C97469">
        <w:tc>
          <w:tcPr>
            <w:tcW w:w="1418" w:type="dxa"/>
            <w:vMerge/>
            <w:hideMark/>
          </w:tcPr>
          <w:p w14:paraId="5B16196F"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79DA9535" w14:textId="77777777" w:rsidR="005E5F3E" w:rsidRPr="0075424D"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5424D">
              <w:rPr>
                <w:rFonts w:ascii="Times New Roman" w:eastAsia="標楷體" w:hAnsi="Times New Roman" w:cs="Arial"/>
                <w:b/>
                <w:bCs/>
                <w:color w:val="000000"/>
                <w:kern w:val="0"/>
                <w:sz w:val="26"/>
                <w:szCs w:val="28"/>
              </w:rPr>
              <w:t>(</w:t>
            </w:r>
            <w:r w:rsidRPr="0075424D">
              <w:rPr>
                <w:rFonts w:ascii="Times New Roman" w:eastAsia="標楷體" w:hAnsi="Times New Roman" w:cs="Arial"/>
                <w:b/>
                <w:bCs/>
                <w:color w:val="000000"/>
                <w:kern w:val="0"/>
                <w:sz w:val="26"/>
                <w:szCs w:val="28"/>
              </w:rPr>
              <w:t>二</w:t>
            </w:r>
            <w:r w:rsidRPr="0075424D">
              <w:rPr>
                <w:rFonts w:ascii="Times New Roman" w:eastAsia="標楷體" w:hAnsi="Times New Roman" w:cs="Arial"/>
                <w:b/>
                <w:bCs/>
                <w:color w:val="000000"/>
                <w:kern w:val="0"/>
                <w:sz w:val="26"/>
                <w:szCs w:val="28"/>
              </w:rPr>
              <w:t xml:space="preserve">) </w:t>
            </w:r>
            <w:r w:rsidRPr="0075424D">
              <w:rPr>
                <w:rFonts w:ascii="Times New Roman" w:eastAsia="標楷體" w:hAnsi="Times New Roman" w:cs="Arial"/>
                <w:b/>
                <w:bCs/>
                <w:color w:val="000000"/>
                <w:kern w:val="0"/>
                <w:sz w:val="26"/>
                <w:szCs w:val="28"/>
              </w:rPr>
              <w:t>建議財政部修正《統一發票給獎辦法》，以提升稅務遵循並減少地下經濟，保護稅源，並提升企業財務能見度。</w:t>
            </w:r>
          </w:p>
        </w:tc>
        <w:tc>
          <w:tcPr>
            <w:tcW w:w="709" w:type="dxa"/>
            <w:hideMark/>
          </w:tcPr>
          <w:p w14:paraId="519B02F2"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30"/>
            </w:r>
          </w:p>
        </w:tc>
        <w:tc>
          <w:tcPr>
            <w:tcW w:w="9214" w:type="dxa"/>
            <w:hideMark/>
          </w:tcPr>
          <w:p w14:paraId="42CCDEF2" w14:textId="77777777" w:rsidR="005E5F3E" w:rsidRPr="0027586C"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27586C">
              <w:rPr>
                <w:rFonts w:ascii="Times New Roman" w:eastAsia="標楷體" w:hAnsi="Times New Roman" w:cs="Arial" w:hint="eastAsia"/>
                <w:b/>
                <w:bCs/>
                <w:color w:val="000000"/>
                <w:kern w:val="0"/>
                <w:sz w:val="26"/>
                <w:szCs w:val="28"/>
              </w:rPr>
              <w:t>財政部</w:t>
            </w:r>
          </w:p>
          <w:p w14:paraId="4891CC5F" w14:textId="77777777" w:rsidR="005E5F3E" w:rsidRDefault="005E5F3E" w:rsidP="00C97469">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1C5A25EA" w14:textId="77777777" w:rsidR="005E5F3E" w:rsidRPr="0027586C" w:rsidRDefault="005E5F3E" w:rsidP="00C97469">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7586C">
              <w:rPr>
                <w:rFonts w:ascii="Times New Roman" w:eastAsia="標楷體" w:hAnsi="Times New Roman" w:cs="Arial" w:hint="eastAsia"/>
                <w:color w:val="000000"/>
                <w:kern w:val="0"/>
                <w:sz w:val="26"/>
                <w:szCs w:val="26"/>
              </w:rPr>
              <w:t>統一發票給獎制度旨在鼓勵消費者購物索取統一發票，發揮社會大眾監督功能，以達防止營業人逃漏稅捐，有效控制稅源，確保稅收；又近年來配合</w:t>
            </w:r>
            <w:proofErr w:type="gramStart"/>
            <w:r w:rsidRPr="0027586C">
              <w:rPr>
                <w:rFonts w:ascii="Times New Roman" w:eastAsia="標楷體" w:hAnsi="Times New Roman" w:cs="Arial" w:hint="eastAsia"/>
                <w:color w:val="000000"/>
                <w:kern w:val="0"/>
                <w:sz w:val="26"/>
                <w:szCs w:val="26"/>
              </w:rPr>
              <w:t>節能減碳政策</w:t>
            </w:r>
            <w:proofErr w:type="gramEnd"/>
            <w:r w:rsidRPr="0027586C">
              <w:rPr>
                <w:rFonts w:ascii="Times New Roman" w:eastAsia="標楷體" w:hAnsi="Times New Roman" w:cs="Arial" w:hint="eastAsia"/>
                <w:color w:val="000000"/>
                <w:kern w:val="0"/>
                <w:sz w:val="26"/>
                <w:szCs w:val="26"/>
              </w:rPr>
              <w:t>，持續推動雲端發票，財政部除增開雲端發票專屬獎項外，亦結合各地區國稅局及各地方稅</w:t>
            </w:r>
            <w:proofErr w:type="gramStart"/>
            <w:r w:rsidRPr="0027586C">
              <w:rPr>
                <w:rFonts w:ascii="Times New Roman" w:eastAsia="標楷體" w:hAnsi="Times New Roman" w:cs="Arial" w:hint="eastAsia"/>
                <w:color w:val="000000"/>
                <w:kern w:val="0"/>
                <w:sz w:val="26"/>
                <w:szCs w:val="26"/>
              </w:rPr>
              <w:t>稽</w:t>
            </w:r>
            <w:proofErr w:type="gramEnd"/>
            <w:r w:rsidRPr="0027586C">
              <w:rPr>
                <w:rFonts w:ascii="Times New Roman" w:eastAsia="標楷體" w:hAnsi="Times New Roman" w:cs="Arial" w:hint="eastAsia"/>
                <w:color w:val="000000"/>
                <w:kern w:val="0"/>
                <w:sz w:val="26"/>
                <w:szCs w:val="26"/>
              </w:rPr>
              <w:t>徵機關辦理多元租稅宣導活動。</w:t>
            </w:r>
          </w:p>
          <w:p w14:paraId="496D4DD6" w14:textId="77777777" w:rsidR="005E5F3E" w:rsidRPr="0027586C" w:rsidRDefault="005E5F3E" w:rsidP="00C97469">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7586C">
              <w:rPr>
                <w:rFonts w:ascii="Times New Roman" w:eastAsia="標楷體" w:hAnsi="Times New Roman" w:cs="Arial" w:hint="eastAsia"/>
                <w:color w:val="000000"/>
                <w:kern w:val="0"/>
                <w:sz w:val="26"/>
                <w:szCs w:val="26"/>
              </w:rPr>
              <w:t>為鼓勵營業人導入電子發票，財政部除舉辦全國營業人開立雲端發票競賽活動外，</w:t>
            </w:r>
            <w:r w:rsidRPr="00897373">
              <w:rPr>
                <w:rFonts w:ascii="Times New Roman" w:eastAsia="標楷體" w:hAnsi="Times New Roman" w:cs="Arial" w:hint="eastAsia"/>
                <w:color w:val="000000"/>
                <w:kern w:val="0"/>
                <w:sz w:val="26"/>
                <w:szCs w:val="26"/>
              </w:rPr>
              <w:t>另就使用電子發票績優營業人提供享有營所稅與營業稅免查核等多項獎勵措施</w:t>
            </w:r>
            <w:r w:rsidRPr="0027586C">
              <w:rPr>
                <w:rFonts w:ascii="Times New Roman" w:eastAsia="標楷體" w:hAnsi="Times New Roman" w:cs="Arial" w:hint="eastAsia"/>
                <w:color w:val="000000"/>
                <w:kern w:val="0"/>
                <w:sz w:val="26"/>
                <w:szCs w:val="26"/>
              </w:rPr>
              <w:t>。</w:t>
            </w:r>
          </w:p>
          <w:p w14:paraId="014FDDB1" w14:textId="77777777" w:rsidR="005E5F3E" w:rsidRPr="0027586C" w:rsidRDefault="005E5F3E" w:rsidP="00C97469">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7586C">
              <w:rPr>
                <w:rFonts w:ascii="Times New Roman" w:eastAsia="標楷體" w:hAnsi="Times New Roman" w:cs="Arial" w:hint="eastAsia"/>
                <w:color w:val="000000"/>
                <w:kern w:val="0"/>
                <w:sz w:val="26"/>
                <w:szCs w:val="26"/>
              </w:rPr>
              <w:t>至</w:t>
            </w:r>
            <w:r w:rsidRPr="00897373">
              <w:rPr>
                <w:rFonts w:ascii="Times New Roman" w:eastAsia="標楷體" w:hAnsi="Times New Roman" w:cs="Arial" w:hint="eastAsia"/>
                <w:color w:val="000000"/>
                <w:kern w:val="0"/>
                <w:sz w:val="26"/>
                <w:szCs w:val="26"/>
              </w:rPr>
              <w:t>所提對使用整合數位支付及雲端發票記帳系統等營業人採購相關軟硬體設備之補貼措施</w:t>
            </w:r>
            <w:r w:rsidRPr="0027586C">
              <w:rPr>
                <w:rFonts w:ascii="Times New Roman" w:eastAsia="標楷體" w:hAnsi="Times New Roman" w:cs="Arial" w:hint="eastAsia"/>
                <w:color w:val="000000"/>
                <w:kern w:val="0"/>
                <w:sz w:val="26"/>
                <w:szCs w:val="26"/>
              </w:rPr>
              <w:t>，宜由相關目的事業主管機關基於補貼政策目的審慎評估。</w:t>
            </w:r>
          </w:p>
          <w:p w14:paraId="6FF885B2" w14:textId="77777777" w:rsidR="005E5F3E" w:rsidRPr="00ED4851" w:rsidRDefault="005E5F3E" w:rsidP="00C97469">
            <w:pPr>
              <w:pStyle w:val="ab"/>
              <w:numPr>
                <w:ilvl w:val="0"/>
                <w:numId w:val="12"/>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2E04A2">
              <w:rPr>
                <w:rFonts w:ascii="Times New Roman" w:eastAsia="標楷體" w:hAnsi="Times New Roman" w:cs="Arial" w:hint="eastAsia"/>
                <w:color w:val="000000"/>
                <w:kern w:val="0"/>
                <w:sz w:val="26"/>
                <w:szCs w:val="26"/>
              </w:rPr>
              <w:t>統一發票給獎辦法；財政部獎勵使用統一發票及電子發票績優營業人實施要點</w:t>
            </w:r>
          </w:p>
        </w:tc>
        <w:tc>
          <w:tcPr>
            <w:tcW w:w="1417" w:type="dxa"/>
            <w:noWrap/>
          </w:tcPr>
          <w:p w14:paraId="2C2DF8EC"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7469445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7AB35377"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1975982"/>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4C960559"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39542039"/>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325810C2"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98015194"/>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r w:rsidR="005E5F3E" w:rsidRPr="00ED4851" w14:paraId="098FC648" w14:textId="77777777" w:rsidTr="00C97469">
        <w:tc>
          <w:tcPr>
            <w:tcW w:w="1418" w:type="dxa"/>
            <w:vMerge/>
            <w:hideMark/>
          </w:tcPr>
          <w:p w14:paraId="2AD4FDAE" w14:textId="77777777" w:rsidR="005E5F3E" w:rsidRPr="00ED4851" w:rsidRDefault="005E5F3E" w:rsidP="000F0277">
            <w:pPr>
              <w:kinsoku w:val="0"/>
              <w:overflowPunct w:val="0"/>
              <w:spacing w:line="340" w:lineRule="exact"/>
              <w:rPr>
                <w:rFonts w:ascii="Times New Roman" w:eastAsia="標楷體" w:hAnsi="Times New Roman" w:cs="Arial"/>
                <w:color w:val="000000"/>
                <w:kern w:val="0"/>
                <w:sz w:val="26"/>
                <w:szCs w:val="28"/>
              </w:rPr>
            </w:pPr>
          </w:p>
        </w:tc>
        <w:tc>
          <w:tcPr>
            <w:tcW w:w="3402" w:type="dxa"/>
            <w:hideMark/>
          </w:tcPr>
          <w:p w14:paraId="4814CBB6" w14:textId="77777777" w:rsidR="005E5F3E" w:rsidRPr="0075424D" w:rsidRDefault="005E5F3E"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5424D">
              <w:rPr>
                <w:rFonts w:ascii="Times New Roman" w:eastAsia="標楷體" w:hAnsi="Times New Roman" w:cs="Arial"/>
                <w:b/>
                <w:bCs/>
                <w:color w:val="000000"/>
                <w:kern w:val="0"/>
                <w:sz w:val="26"/>
                <w:szCs w:val="28"/>
              </w:rPr>
              <w:t>(</w:t>
            </w:r>
            <w:r w:rsidRPr="0075424D">
              <w:rPr>
                <w:rFonts w:ascii="Times New Roman" w:eastAsia="標楷體" w:hAnsi="Times New Roman" w:cs="Arial"/>
                <w:b/>
                <w:bCs/>
                <w:color w:val="000000"/>
                <w:kern w:val="0"/>
                <w:sz w:val="26"/>
                <w:szCs w:val="28"/>
              </w:rPr>
              <w:t>三</w:t>
            </w:r>
            <w:r w:rsidRPr="0075424D">
              <w:rPr>
                <w:rFonts w:ascii="Times New Roman" w:eastAsia="標楷體" w:hAnsi="Times New Roman" w:cs="Arial"/>
                <w:b/>
                <w:bCs/>
                <w:color w:val="000000"/>
                <w:kern w:val="0"/>
                <w:sz w:val="26"/>
                <w:szCs w:val="28"/>
              </w:rPr>
              <w:t xml:space="preserve">) </w:t>
            </w:r>
            <w:r w:rsidRPr="0075424D">
              <w:rPr>
                <w:rFonts w:ascii="Times New Roman" w:eastAsia="標楷體" w:hAnsi="Times New Roman" w:cs="Arial"/>
                <w:b/>
                <w:bCs/>
                <w:color w:val="000000"/>
                <w:kern w:val="0"/>
                <w:sz w:val="26"/>
                <w:szCs w:val="28"/>
              </w:rPr>
              <w:t>建議儘快檢視扣繳制度，避免藉由提高裁罰倍數，間接限制人民對扣繳爭議事項，表示不服的權利。</w:t>
            </w:r>
          </w:p>
        </w:tc>
        <w:tc>
          <w:tcPr>
            <w:tcW w:w="709" w:type="dxa"/>
            <w:hideMark/>
          </w:tcPr>
          <w:p w14:paraId="60D7D43D" w14:textId="77777777" w:rsidR="005E5F3E" w:rsidRPr="00ED4851" w:rsidRDefault="005E5F3E" w:rsidP="000F0277">
            <w:pPr>
              <w:kinsoku w:val="0"/>
              <w:overflowPunct w:val="0"/>
              <w:spacing w:line="340" w:lineRule="exact"/>
              <w:jc w:val="center"/>
              <w:rPr>
                <w:rFonts w:ascii="Times New Roman" w:eastAsia="標楷體" w:hAnsi="Times New Roman" w:cs="Arial"/>
                <w:color w:val="000000"/>
                <w:kern w:val="0"/>
                <w:sz w:val="32"/>
                <w:szCs w:val="32"/>
              </w:rPr>
            </w:pPr>
            <w:r w:rsidRPr="00ED4851">
              <w:rPr>
                <w:rFonts w:ascii="Times New Roman" w:eastAsia="標楷體" w:hAnsi="Times New Roman" w:cs="Arial"/>
                <w:color w:val="000000"/>
                <w:kern w:val="0"/>
                <w:sz w:val="32"/>
                <w:szCs w:val="32"/>
              </w:rPr>
              <w:sym w:font="Wingdings 2" w:char="F052"/>
            </w:r>
          </w:p>
        </w:tc>
        <w:tc>
          <w:tcPr>
            <w:tcW w:w="9214" w:type="dxa"/>
            <w:hideMark/>
          </w:tcPr>
          <w:p w14:paraId="52F6212B" w14:textId="77777777" w:rsidR="005E5F3E" w:rsidRPr="00E40BE1" w:rsidRDefault="005E5F3E" w:rsidP="000F0277">
            <w:pPr>
              <w:kinsoku w:val="0"/>
              <w:overflowPunct w:val="0"/>
              <w:spacing w:line="340" w:lineRule="exact"/>
              <w:rPr>
                <w:rFonts w:ascii="Times New Roman" w:eastAsia="標楷體" w:hAnsi="Times New Roman" w:cs="Arial"/>
                <w:b/>
                <w:bCs/>
                <w:color w:val="000000"/>
                <w:kern w:val="0"/>
                <w:sz w:val="26"/>
                <w:szCs w:val="28"/>
              </w:rPr>
            </w:pPr>
            <w:r w:rsidRPr="00E40BE1">
              <w:rPr>
                <w:rFonts w:ascii="Times New Roman" w:eastAsia="標楷體" w:hAnsi="Times New Roman" w:cs="Arial" w:hint="eastAsia"/>
                <w:b/>
                <w:bCs/>
                <w:color w:val="000000"/>
                <w:kern w:val="0"/>
                <w:sz w:val="26"/>
                <w:szCs w:val="28"/>
              </w:rPr>
              <w:t>財政部</w:t>
            </w:r>
          </w:p>
          <w:p w14:paraId="476355DF" w14:textId="77777777" w:rsidR="005E5F3E" w:rsidRDefault="005E5F3E" w:rsidP="00C97469">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目前進度及未來規劃</w:t>
            </w:r>
          </w:p>
          <w:p w14:paraId="48E23164" w14:textId="77777777" w:rsidR="005E5F3E" w:rsidRDefault="005E5F3E" w:rsidP="00C97469">
            <w:pPr>
              <w:pStyle w:val="ab"/>
              <w:numPr>
                <w:ilvl w:val="0"/>
                <w:numId w:val="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931E4">
              <w:rPr>
                <w:rFonts w:ascii="Times New Roman" w:eastAsia="標楷體" w:hAnsi="Times New Roman" w:cs="Arial" w:hint="eastAsia"/>
                <w:color w:val="000000"/>
                <w:kern w:val="0"/>
                <w:sz w:val="26"/>
                <w:szCs w:val="26"/>
              </w:rPr>
              <w:t>現行已有依個案違章情節減免處罰相關規定</w:t>
            </w:r>
          </w:p>
          <w:p w14:paraId="288D99F4" w14:textId="77777777" w:rsidR="005E5F3E" w:rsidRPr="00DC6EAF"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DC6EAF">
              <w:rPr>
                <w:rFonts w:ascii="Times New Roman" w:eastAsia="標楷體" w:hAnsi="Times New Roman" w:cs="Arial" w:hint="eastAsia"/>
                <w:color w:val="000000"/>
                <w:kern w:val="0"/>
                <w:sz w:val="26"/>
                <w:szCs w:val="26"/>
              </w:rPr>
              <w:t>依所得稅法第</w:t>
            </w:r>
            <w:r w:rsidRPr="00DC6EAF">
              <w:rPr>
                <w:rFonts w:ascii="Times New Roman" w:eastAsia="標楷體" w:hAnsi="Times New Roman" w:cs="Arial" w:hint="eastAsia"/>
                <w:color w:val="000000"/>
                <w:kern w:val="0"/>
                <w:sz w:val="26"/>
                <w:szCs w:val="26"/>
              </w:rPr>
              <w:t>110</w:t>
            </w:r>
            <w:r w:rsidRPr="00DC6EAF">
              <w:rPr>
                <w:rFonts w:ascii="Times New Roman" w:eastAsia="標楷體" w:hAnsi="Times New Roman" w:cs="Arial" w:hint="eastAsia"/>
                <w:color w:val="000000"/>
                <w:kern w:val="0"/>
                <w:sz w:val="26"/>
                <w:szCs w:val="26"/>
              </w:rPr>
              <w:t>條規定，納稅義務人已依規定辦理申報，而有漏報或短報情事者，處所漏稅額「</w:t>
            </w:r>
            <w:r w:rsidRPr="00DC6EAF">
              <w:rPr>
                <w:rFonts w:ascii="Times New Roman" w:eastAsia="標楷體" w:hAnsi="Times New Roman" w:cs="Arial" w:hint="eastAsia"/>
                <w:color w:val="000000"/>
                <w:kern w:val="0"/>
                <w:sz w:val="26"/>
                <w:szCs w:val="26"/>
              </w:rPr>
              <w:t>2</w:t>
            </w:r>
            <w:r w:rsidRPr="00DC6EAF">
              <w:rPr>
                <w:rFonts w:ascii="Times New Roman" w:eastAsia="標楷體" w:hAnsi="Times New Roman" w:cs="Arial" w:hint="eastAsia"/>
                <w:color w:val="000000"/>
                <w:kern w:val="0"/>
                <w:sz w:val="26"/>
                <w:szCs w:val="26"/>
              </w:rPr>
              <w:t>倍以下」罰鍰；未依規定辦理申報者，按補徵稅額處「</w:t>
            </w:r>
            <w:r w:rsidRPr="00DC6EAF">
              <w:rPr>
                <w:rFonts w:ascii="Times New Roman" w:eastAsia="標楷體" w:hAnsi="Times New Roman" w:cs="Arial" w:hint="eastAsia"/>
                <w:color w:val="000000"/>
                <w:kern w:val="0"/>
                <w:sz w:val="26"/>
                <w:szCs w:val="26"/>
              </w:rPr>
              <w:t>3</w:t>
            </w:r>
            <w:r w:rsidRPr="00DC6EAF">
              <w:rPr>
                <w:rFonts w:ascii="Times New Roman" w:eastAsia="標楷體" w:hAnsi="Times New Roman" w:cs="Arial" w:hint="eastAsia"/>
                <w:color w:val="000000"/>
                <w:kern w:val="0"/>
                <w:sz w:val="26"/>
                <w:szCs w:val="26"/>
              </w:rPr>
              <w:t>倍以下」罰鍰。同法第</w:t>
            </w:r>
            <w:r w:rsidRPr="00DC6EAF">
              <w:rPr>
                <w:rFonts w:ascii="Times New Roman" w:eastAsia="標楷體" w:hAnsi="Times New Roman" w:cs="Arial" w:hint="eastAsia"/>
                <w:color w:val="000000"/>
                <w:kern w:val="0"/>
                <w:sz w:val="26"/>
                <w:szCs w:val="26"/>
              </w:rPr>
              <w:t>114</w:t>
            </w:r>
            <w:r w:rsidRPr="00DC6EAF">
              <w:rPr>
                <w:rFonts w:ascii="Times New Roman" w:eastAsia="標楷體" w:hAnsi="Times New Roman" w:cs="Arial" w:hint="eastAsia"/>
                <w:color w:val="000000"/>
                <w:kern w:val="0"/>
                <w:sz w:val="26"/>
                <w:szCs w:val="26"/>
              </w:rPr>
              <w:t>條第</w:t>
            </w:r>
            <w:r w:rsidRPr="00DC6EAF">
              <w:rPr>
                <w:rFonts w:ascii="Times New Roman" w:eastAsia="標楷體" w:hAnsi="Times New Roman" w:cs="Arial" w:hint="eastAsia"/>
                <w:color w:val="000000"/>
                <w:kern w:val="0"/>
                <w:sz w:val="26"/>
                <w:szCs w:val="26"/>
              </w:rPr>
              <w:t>1</w:t>
            </w:r>
            <w:r w:rsidRPr="00DC6EAF">
              <w:rPr>
                <w:rFonts w:ascii="Times New Roman" w:eastAsia="標楷體" w:hAnsi="Times New Roman" w:cs="Arial" w:hint="eastAsia"/>
                <w:color w:val="000000"/>
                <w:kern w:val="0"/>
                <w:sz w:val="26"/>
                <w:szCs w:val="26"/>
              </w:rPr>
              <w:t>款規定，扣繳義務人未依規定扣繳稅款者，除限期責令補扣繳及補報扣繳憑單，按應扣未扣</w:t>
            </w:r>
            <w:proofErr w:type="gramStart"/>
            <w:r w:rsidRPr="00DC6EAF">
              <w:rPr>
                <w:rFonts w:ascii="Times New Roman" w:eastAsia="標楷體" w:hAnsi="Times New Roman" w:cs="Arial" w:hint="eastAsia"/>
                <w:color w:val="000000"/>
                <w:kern w:val="0"/>
                <w:sz w:val="26"/>
                <w:szCs w:val="26"/>
              </w:rPr>
              <w:t>或短扣稅額</w:t>
            </w:r>
            <w:proofErr w:type="gramEnd"/>
            <w:r w:rsidRPr="00DC6EAF">
              <w:rPr>
                <w:rFonts w:ascii="Times New Roman" w:eastAsia="標楷體" w:hAnsi="Times New Roman" w:cs="Arial" w:hint="eastAsia"/>
                <w:color w:val="000000"/>
                <w:kern w:val="0"/>
                <w:sz w:val="26"/>
                <w:szCs w:val="26"/>
              </w:rPr>
              <w:t>處「</w:t>
            </w:r>
            <w:r w:rsidRPr="00DC6EAF">
              <w:rPr>
                <w:rFonts w:ascii="Times New Roman" w:eastAsia="標楷體" w:hAnsi="Times New Roman" w:cs="Arial" w:hint="eastAsia"/>
                <w:color w:val="000000"/>
                <w:kern w:val="0"/>
                <w:sz w:val="26"/>
                <w:szCs w:val="26"/>
              </w:rPr>
              <w:t>1</w:t>
            </w:r>
            <w:r w:rsidRPr="00DC6EAF">
              <w:rPr>
                <w:rFonts w:ascii="Times New Roman" w:eastAsia="標楷體" w:hAnsi="Times New Roman" w:cs="Arial" w:hint="eastAsia"/>
                <w:color w:val="000000"/>
                <w:kern w:val="0"/>
                <w:sz w:val="26"/>
                <w:szCs w:val="26"/>
              </w:rPr>
              <w:t>倍以下」罰鍰；未於限期內補繳或補報者應按應扣未扣</w:t>
            </w:r>
            <w:proofErr w:type="gramStart"/>
            <w:r w:rsidRPr="00DC6EAF">
              <w:rPr>
                <w:rFonts w:ascii="Times New Roman" w:eastAsia="標楷體" w:hAnsi="Times New Roman" w:cs="Arial" w:hint="eastAsia"/>
                <w:color w:val="000000"/>
                <w:kern w:val="0"/>
                <w:sz w:val="26"/>
                <w:szCs w:val="26"/>
              </w:rPr>
              <w:t>或短扣稅額</w:t>
            </w:r>
            <w:proofErr w:type="gramEnd"/>
            <w:r w:rsidRPr="00DC6EAF">
              <w:rPr>
                <w:rFonts w:ascii="Times New Roman" w:eastAsia="標楷體" w:hAnsi="Times New Roman" w:cs="Arial" w:hint="eastAsia"/>
                <w:color w:val="000000"/>
                <w:kern w:val="0"/>
                <w:sz w:val="26"/>
                <w:szCs w:val="26"/>
              </w:rPr>
              <w:t>處「</w:t>
            </w:r>
            <w:r w:rsidRPr="00DC6EAF">
              <w:rPr>
                <w:rFonts w:ascii="Times New Roman" w:eastAsia="標楷體" w:hAnsi="Times New Roman" w:cs="Arial" w:hint="eastAsia"/>
                <w:color w:val="000000"/>
                <w:kern w:val="0"/>
                <w:sz w:val="26"/>
                <w:szCs w:val="26"/>
              </w:rPr>
              <w:t>3</w:t>
            </w:r>
            <w:r w:rsidRPr="00DC6EAF">
              <w:rPr>
                <w:rFonts w:ascii="Times New Roman" w:eastAsia="標楷體" w:hAnsi="Times New Roman" w:cs="Arial" w:hint="eastAsia"/>
                <w:color w:val="000000"/>
                <w:kern w:val="0"/>
                <w:sz w:val="26"/>
                <w:szCs w:val="26"/>
              </w:rPr>
              <w:t>倍以下」罰鍰。</w:t>
            </w:r>
            <w:proofErr w:type="gramStart"/>
            <w:r w:rsidRPr="00DC6EAF">
              <w:rPr>
                <w:rFonts w:ascii="Times New Roman" w:eastAsia="標楷體" w:hAnsi="Times New Roman" w:cs="Arial" w:hint="eastAsia"/>
                <w:color w:val="000000"/>
                <w:kern w:val="0"/>
                <w:sz w:val="26"/>
                <w:szCs w:val="26"/>
              </w:rPr>
              <w:t>另上開</w:t>
            </w:r>
            <w:proofErr w:type="gramEnd"/>
            <w:r w:rsidRPr="00DC6EAF">
              <w:rPr>
                <w:rFonts w:ascii="Times New Roman" w:eastAsia="標楷體" w:hAnsi="Times New Roman" w:cs="Arial" w:hint="eastAsia"/>
                <w:color w:val="000000"/>
                <w:kern w:val="0"/>
                <w:sz w:val="26"/>
                <w:szCs w:val="26"/>
              </w:rPr>
              <w:t>所得稅法第</w:t>
            </w:r>
            <w:r w:rsidRPr="00DC6EAF">
              <w:rPr>
                <w:rFonts w:ascii="Times New Roman" w:eastAsia="標楷體" w:hAnsi="Times New Roman" w:cs="Arial" w:hint="eastAsia"/>
                <w:color w:val="000000"/>
                <w:kern w:val="0"/>
                <w:sz w:val="26"/>
                <w:szCs w:val="26"/>
              </w:rPr>
              <w:t>110</w:t>
            </w:r>
            <w:r w:rsidRPr="00DC6EAF">
              <w:rPr>
                <w:rFonts w:ascii="Times New Roman" w:eastAsia="標楷體" w:hAnsi="Times New Roman" w:cs="Arial" w:hint="eastAsia"/>
                <w:color w:val="000000"/>
                <w:kern w:val="0"/>
                <w:sz w:val="26"/>
                <w:szCs w:val="26"/>
              </w:rPr>
              <w:t>條及第</w:t>
            </w:r>
            <w:r w:rsidRPr="00DC6EAF">
              <w:rPr>
                <w:rFonts w:ascii="Times New Roman" w:eastAsia="標楷體" w:hAnsi="Times New Roman" w:cs="Arial" w:hint="eastAsia"/>
                <w:color w:val="000000"/>
                <w:kern w:val="0"/>
                <w:sz w:val="26"/>
                <w:szCs w:val="26"/>
              </w:rPr>
              <w:t>114</w:t>
            </w:r>
            <w:r w:rsidRPr="00DC6EAF">
              <w:rPr>
                <w:rFonts w:ascii="Times New Roman" w:eastAsia="標楷體" w:hAnsi="Times New Roman" w:cs="Arial" w:hint="eastAsia"/>
                <w:color w:val="000000"/>
                <w:kern w:val="0"/>
                <w:sz w:val="26"/>
                <w:szCs w:val="26"/>
              </w:rPr>
              <w:t>條違章案件，得依稅務違章案件減免處罰標準第</w:t>
            </w:r>
            <w:r w:rsidRPr="00DC6EAF">
              <w:rPr>
                <w:rFonts w:ascii="Times New Roman" w:eastAsia="標楷體" w:hAnsi="Times New Roman" w:cs="Arial" w:hint="eastAsia"/>
                <w:color w:val="000000"/>
                <w:kern w:val="0"/>
                <w:sz w:val="26"/>
                <w:szCs w:val="26"/>
              </w:rPr>
              <w:t>3</w:t>
            </w:r>
            <w:r w:rsidRPr="00DC6EAF">
              <w:rPr>
                <w:rFonts w:ascii="Times New Roman" w:eastAsia="標楷體" w:hAnsi="Times New Roman" w:cs="Arial" w:hint="eastAsia"/>
                <w:color w:val="000000"/>
                <w:kern w:val="0"/>
                <w:sz w:val="26"/>
                <w:szCs w:val="26"/>
              </w:rPr>
              <w:t>條與第</w:t>
            </w:r>
            <w:r w:rsidRPr="00DC6EAF">
              <w:rPr>
                <w:rFonts w:ascii="Times New Roman" w:eastAsia="標楷體" w:hAnsi="Times New Roman" w:cs="Arial" w:hint="eastAsia"/>
                <w:color w:val="000000"/>
                <w:kern w:val="0"/>
                <w:sz w:val="26"/>
                <w:szCs w:val="26"/>
              </w:rPr>
              <w:t>6</w:t>
            </w:r>
            <w:r w:rsidRPr="00DC6EAF">
              <w:rPr>
                <w:rFonts w:ascii="Times New Roman" w:eastAsia="標楷體" w:hAnsi="Times New Roman" w:cs="Arial" w:hint="eastAsia"/>
                <w:color w:val="000000"/>
                <w:kern w:val="0"/>
                <w:sz w:val="26"/>
                <w:szCs w:val="26"/>
              </w:rPr>
              <w:t>條及稅務違章案件</w:t>
            </w:r>
            <w:proofErr w:type="gramStart"/>
            <w:r w:rsidRPr="00DC6EAF">
              <w:rPr>
                <w:rFonts w:ascii="Times New Roman" w:eastAsia="標楷體" w:hAnsi="Times New Roman" w:cs="Arial" w:hint="eastAsia"/>
                <w:color w:val="000000"/>
                <w:kern w:val="0"/>
                <w:sz w:val="26"/>
                <w:szCs w:val="26"/>
              </w:rPr>
              <w:t>裁</w:t>
            </w:r>
            <w:proofErr w:type="gramEnd"/>
            <w:r w:rsidRPr="00DC6EAF">
              <w:rPr>
                <w:rFonts w:ascii="Times New Roman" w:eastAsia="標楷體" w:hAnsi="Times New Roman" w:cs="Arial" w:hint="eastAsia"/>
                <w:color w:val="000000"/>
                <w:kern w:val="0"/>
                <w:sz w:val="26"/>
                <w:szCs w:val="26"/>
              </w:rPr>
              <w:t>罰金額或倍數參考表，按個案違章情節減免處罰，尚無所稱扣繳義務人責任重於納稅義務人情形。</w:t>
            </w:r>
          </w:p>
          <w:p w14:paraId="5B57EA33" w14:textId="77777777" w:rsidR="005E5F3E" w:rsidRDefault="005E5F3E" w:rsidP="00C97469">
            <w:pPr>
              <w:pStyle w:val="ab"/>
              <w:numPr>
                <w:ilvl w:val="0"/>
                <w:numId w:val="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931E4">
              <w:rPr>
                <w:rFonts w:ascii="Times New Roman" w:eastAsia="標楷體" w:hAnsi="Times New Roman" w:cs="Arial" w:hint="eastAsia"/>
                <w:color w:val="000000"/>
                <w:kern w:val="0"/>
                <w:sz w:val="26"/>
                <w:szCs w:val="26"/>
              </w:rPr>
              <w:t>所得稅法第</w:t>
            </w:r>
            <w:r w:rsidRPr="008931E4">
              <w:rPr>
                <w:rFonts w:ascii="Times New Roman" w:eastAsia="標楷體" w:hAnsi="Times New Roman" w:cs="Arial" w:hint="eastAsia"/>
                <w:color w:val="000000"/>
                <w:kern w:val="0"/>
                <w:sz w:val="26"/>
                <w:szCs w:val="26"/>
              </w:rPr>
              <w:t>114</w:t>
            </w:r>
            <w:r w:rsidRPr="008931E4">
              <w:rPr>
                <w:rFonts w:ascii="Times New Roman" w:eastAsia="標楷體" w:hAnsi="Times New Roman" w:cs="Arial" w:hint="eastAsia"/>
                <w:color w:val="000000"/>
                <w:kern w:val="0"/>
                <w:sz w:val="26"/>
                <w:szCs w:val="26"/>
              </w:rPr>
              <w:t>條第</w:t>
            </w:r>
            <w:r w:rsidRPr="008931E4">
              <w:rPr>
                <w:rFonts w:ascii="Times New Roman" w:eastAsia="標楷體" w:hAnsi="Times New Roman" w:cs="Arial" w:hint="eastAsia"/>
                <w:color w:val="000000"/>
                <w:kern w:val="0"/>
                <w:sz w:val="26"/>
                <w:szCs w:val="26"/>
              </w:rPr>
              <w:t>1</w:t>
            </w:r>
            <w:r w:rsidRPr="008931E4">
              <w:rPr>
                <w:rFonts w:ascii="Times New Roman" w:eastAsia="標楷體" w:hAnsi="Times New Roman" w:cs="Arial" w:hint="eastAsia"/>
                <w:color w:val="000000"/>
                <w:kern w:val="0"/>
                <w:sz w:val="26"/>
                <w:szCs w:val="26"/>
              </w:rPr>
              <w:t>款係對於限期內補繳或補報者，減輕其處罰，並未限制其提起救濟權利</w:t>
            </w:r>
          </w:p>
          <w:p w14:paraId="56C08815" w14:textId="77777777" w:rsidR="005E5F3E" w:rsidRPr="003A433E"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A433E">
              <w:rPr>
                <w:rFonts w:ascii="Times New Roman" w:eastAsia="標楷體" w:hAnsi="Times New Roman" w:cs="Arial" w:hint="eastAsia"/>
                <w:color w:val="000000"/>
                <w:kern w:val="0"/>
                <w:sz w:val="26"/>
                <w:szCs w:val="26"/>
              </w:rPr>
              <w:lastRenderedPageBreak/>
              <w:t>經復查決定應退還稅款者，依稅捐</w:t>
            </w:r>
            <w:proofErr w:type="gramStart"/>
            <w:r w:rsidRPr="003A433E">
              <w:rPr>
                <w:rFonts w:ascii="Times New Roman" w:eastAsia="標楷體" w:hAnsi="Times New Roman" w:cs="Arial" w:hint="eastAsia"/>
                <w:color w:val="000000"/>
                <w:kern w:val="0"/>
                <w:sz w:val="26"/>
                <w:szCs w:val="26"/>
              </w:rPr>
              <w:t>稽</w:t>
            </w:r>
            <w:proofErr w:type="gramEnd"/>
            <w:r w:rsidRPr="003A433E">
              <w:rPr>
                <w:rFonts w:ascii="Times New Roman" w:eastAsia="標楷體" w:hAnsi="Times New Roman" w:cs="Arial" w:hint="eastAsia"/>
                <w:color w:val="000000"/>
                <w:kern w:val="0"/>
                <w:sz w:val="26"/>
                <w:szCs w:val="26"/>
              </w:rPr>
              <w:t>徵法第</w:t>
            </w:r>
            <w:r w:rsidRPr="003A433E">
              <w:rPr>
                <w:rFonts w:ascii="Times New Roman" w:eastAsia="標楷體" w:hAnsi="Times New Roman" w:cs="Arial" w:hint="eastAsia"/>
                <w:color w:val="000000"/>
                <w:kern w:val="0"/>
                <w:sz w:val="26"/>
                <w:szCs w:val="26"/>
              </w:rPr>
              <w:t>38</w:t>
            </w:r>
            <w:r w:rsidRPr="003A433E">
              <w:rPr>
                <w:rFonts w:ascii="Times New Roman" w:eastAsia="標楷體" w:hAnsi="Times New Roman" w:cs="Arial" w:hint="eastAsia"/>
                <w:color w:val="000000"/>
                <w:kern w:val="0"/>
                <w:sz w:val="26"/>
                <w:szCs w:val="26"/>
              </w:rPr>
              <w:t>條規定，稅捐</w:t>
            </w:r>
            <w:proofErr w:type="gramStart"/>
            <w:r w:rsidRPr="003A433E">
              <w:rPr>
                <w:rFonts w:ascii="Times New Roman" w:eastAsia="標楷體" w:hAnsi="Times New Roman" w:cs="Arial" w:hint="eastAsia"/>
                <w:color w:val="000000"/>
                <w:kern w:val="0"/>
                <w:sz w:val="26"/>
                <w:szCs w:val="26"/>
              </w:rPr>
              <w:t>稽</w:t>
            </w:r>
            <w:proofErr w:type="gramEnd"/>
            <w:r w:rsidRPr="003A433E">
              <w:rPr>
                <w:rFonts w:ascii="Times New Roman" w:eastAsia="標楷體" w:hAnsi="Times New Roman" w:cs="Arial" w:hint="eastAsia"/>
                <w:color w:val="000000"/>
                <w:kern w:val="0"/>
                <w:sz w:val="26"/>
                <w:szCs w:val="26"/>
              </w:rPr>
              <w:t>徵機關應加計利息退回，尚無所稱所得稅法第</w:t>
            </w:r>
            <w:r w:rsidRPr="003A433E">
              <w:rPr>
                <w:rFonts w:ascii="Times New Roman" w:eastAsia="標楷體" w:hAnsi="Times New Roman" w:cs="Arial" w:hint="eastAsia"/>
                <w:color w:val="000000"/>
                <w:kern w:val="0"/>
                <w:sz w:val="26"/>
                <w:szCs w:val="26"/>
              </w:rPr>
              <w:t>114</w:t>
            </w:r>
            <w:r w:rsidRPr="003A433E">
              <w:rPr>
                <w:rFonts w:ascii="Times New Roman" w:eastAsia="標楷體" w:hAnsi="Times New Roman" w:cs="Arial" w:hint="eastAsia"/>
                <w:color w:val="000000"/>
                <w:kern w:val="0"/>
                <w:sz w:val="26"/>
                <w:szCs w:val="26"/>
              </w:rPr>
              <w:t>條藉由提高裁罰倍數限制人民提起救濟權利。</w:t>
            </w:r>
          </w:p>
          <w:p w14:paraId="33317A80" w14:textId="77777777" w:rsidR="005E5F3E" w:rsidRDefault="005E5F3E" w:rsidP="00C97469">
            <w:pPr>
              <w:pStyle w:val="ab"/>
              <w:numPr>
                <w:ilvl w:val="0"/>
                <w:numId w:val="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931E4">
              <w:rPr>
                <w:rFonts w:ascii="Times New Roman" w:eastAsia="標楷體" w:hAnsi="Times New Roman" w:cs="Arial" w:hint="eastAsia"/>
                <w:color w:val="000000"/>
                <w:kern w:val="0"/>
                <w:sz w:val="26"/>
                <w:szCs w:val="26"/>
              </w:rPr>
              <w:t>2024</w:t>
            </w:r>
            <w:r w:rsidRPr="008931E4">
              <w:rPr>
                <w:rFonts w:ascii="Times New Roman" w:eastAsia="標楷體" w:hAnsi="Times New Roman" w:cs="Arial" w:hint="eastAsia"/>
                <w:color w:val="000000"/>
                <w:kern w:val="0"/>
                <w:sz w:val="26"/>
                <w:szCs w:val="26"/>
              </w:rPr>
              <w:t>年</w:t>
            </w:r>
            <w:r w:rsidRPr="008931E4">
              <w:rPr>
                <w:rFonts w:ascii="Times New Roman" w:eastAsia="標楷體" w:hAnsi="Times New Roman" w:cs="Arial" w:hint="eastAsia"/>
                <w:color w:val="000000"/>
                <w:kern w:val="0"/>
                <w:sz w:val="26"/>
                <w:szCs w:val="26"/>
              </w:rPr>
              <w:t>8</w:t>
            </w:r>
            <w:r w:rsidRPr="008931E4">
              <w:rPr>
                <w:rFonts w:ascii="Times New Roman" w:eastAsia="標楷體" w:hAnsi="Times New Roman" w:cs="Arial" w:hint="eastAsia"/>
                <w:color w:val="000000"/>
                <w:kern w:val="0"/>
                <w:sz w:val="26"/>
                <w:szCs w:val="26"/>
              </w:rPr>
              <w:t>月</w:t>
            </w:r>
            <w:r w:rsidRPr="008931E4">
              <w:rPr>
                <w:rFonts w:ascii="Times New Roman" w:eastAsia="標楷體" w:hAnsi="Times New Roman" w:cs="Arial" w:hint="eastAsia"/>
                <w:color w:val="000000"/>
                <w:kern w:val="0"/>
                <w:sz w:val="26"/>
                <w:szCs w:val="26"/>
              </w:rPr>
              <w:t>7</w:t>
            </w:r>
            <w:r w:rsidRPr="008931E4">
              <w:rPr>
                <w:rFonts w:ascii="Times New Roman" w:eastAsia="標楷體" w:hAnsi="Times New Roman" w:cs="Arial" w:hint="eastAsia"/>
                <w:color w:val="000000"/>
                <w:kern w:val="0"/>
                <w:sz w:val="26"/>
                <w:szCs w:val="26"/>
              </w:rPr>
              <w:t>日修正公布所得稅法部分條文，修正扣繳義務人主體與範圍及未依規定申報及填發憑單罰則</w:t>
            </w:r>
          </w:p>
          <w:p w14:paraId="0C35576C" w14:textId="77777777" w:rsidR="005E5F3E" w:rsidRPr="003A433E" w:rsidRDefault="005E5F3E"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3A433E">
              <w:rPr>
                <w:rFonts w:ascii="Times New Roman" w:eastAsia="標楷體" w:hAnsi="Times New Roman" w:cs="Arial" w:hint="eastAsia"/>
                <w:color w:val="000000"/>
                <w:kern w:val="0"/>
                <w:sz w:val="26"/>
                <w:szCs w:val="26"/>
              </w:rPr>
              <w:t>由固定金額或比率計算罰鍰，修正為按罰鍰上、下限內處罰，賦予</w:t>
            </w:r>
            <w:proofErr w:type="gramStart"/>
            <w:r w:rsidRPr="003A433E">
              <w:rPr>
                <w:rFonts w:ascii="Times New Roman" w:eastAsia="標楷體" w:hAnsi="Times New Roman" w:cs="Arial" w:hint="eastAsia"/>
                <w:color w:val="000000"/>
                <w:kern w:val="0"/>
                <w:sz w:val="26"/>
                <w:szCs w:val="26"/>
              </w:rPr>
              <w:t>稽</w:t>
            </w:r>
            <w:proofErr w:type="gramEnd"/>
            <w:r w:rsidRPr="003A433E">
              <w:rPr>
                <w:rFonts w:ascii="Times New Roman" w:eastAsia="標楷體" w:hAnsi="Times New Roman" w:cs="Arial" w:hint="eastAsia"/>
                <w:color w:val="000000"/>
                <w:kern w:val="0"/>
                <w:sz w:val="26"/>
                <w:szCs w:val="26"/>
              </w:rPr>
              <w:t>徵</w:t>
            </w:r>
            <w:proofErr w:type="gramStart"/>
            <w:r w:rsidRPr="003A433E">
              <w:rPr>
                <w:rFonts w:ascii="Times New Roman" w:eastAsia="標楷體" w:hAnsi="Times New Roman" w:cs="Arial" w:hint="eastAsia"/>
                <w:color w:val="000000"/>
                <w:kern w:val="0"/>
                <w:sz w:val="26"/>
                <w:szCs w:val="26"/>
              </w:rPr>
              <w:t>機關得衡酌</w:t>
            </w:r>
            <w:proofErr w:type="gramEnd"/>
            <w:r w:rsidRPr="003A433E">
              <w:rPr>
                <w:rFonts w:ascii="Times New Roman" w:eastAsia="標楷體" w:hAnsi="Times New Roman" w:cs="Arial" w:hint="eastAsia"/>
                <w:color w:val="000000"/>
                <w:kern w:val="0"/>
                <w:sz w:val="26"/>
                <w:szCs w:val="26"/>
              </w:rPr>
              <w:t>具體個案違章情節輕重或可受責難程度，給予不同程度處罰。</w:t>
            </w:r>
          </w:p>
          <w:p w14:paraId="75677251" w14:textId="77777777" w:rsidR="005E5F3E" w:rsidRPr="008931E4" w:rsidRDefault="005E5F3E" w:rsidP="00C97469">
            <w:pPr>
              <w:pStyle w:val="ab"/>
              <w:numPr>
                <w:ilvl w:val="0"/>
                <w:numId w:val="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931E4">
              <w:rPr>
                <w:rFonts w:ascii="Times New Roman" w:eastAsia="標楷體" w:hAnsi="Times New Roman" w:cs="Arial" w:hint="eastAsia"/>
                <w:color w:val="000000"/>
                <w:kern w:val="0"/>
                <w:sz w:val="26"/>
                <w:szCs w:val="26"/>
              </w:rPr>
              <w:t>2025</w:t>
            </w:r>
            <w:r w:rsidRPr="008931E4">
              <w:rPr>
                <w:rFonts w:ascii="Times New Roman" w:eastAsia="標楷體" w:hAnsi="Times New Roman" w:cs="Arial" w:hint="eastAsia"/>
                <w:color w:val="000000"/>
                <w:kern w:val="0"/>
                <w:sz w:val="26"/>
                <w:szCs w:val="26"/>
              </w:rPr>
              <w:t>年</w:t>
            </w:r>
            <w:r w:rsidRPr="008931E4">
              <w:rPr>
                <w:rFonts w:ascii="Times New Roman" w:eastAsia="標楷體" w:hAnsi="Times New Roman" w:cs="Arial" w:hint="eastAsia"/>
                <w:color w:val="000000"/>
                <w:kern w:val="0"/>
                <w:sz w:val="26"/>
                <w:szCs w:val="26"/>
              </w:rPr>
              <w:t>8</w:t>
            </w:r>
            <w:r w:rsidRPr="008931E4">
              <w:rPr>
                <w:rFonts w:ascii="Times New Roman" w:eastAsia="標楷體" w:hAnsi="Times New Roman" w:cs="Arial" w:hint="eastAsia"/>
                <w:color w:val="000000"/>
                <w:kern w:val="0"/>
                <w:sz w:val="26"/>
                <w:szCs w:val="26"/>
              </w:rPr>
              <w:t>月</w:t>
            </w:r>
            <w:r w:rsidRPr="008931E4">
              <w:rPr>
                <w:rFonts w:ascii="Times New Roman" w:eastAsia="標楷體" w:hAnsi="Times New Roman" w:cs="Arial" w:hint="eastAsia"/>
                <w:color w:val="000000"/>
                <w:kern w:val="0"/>
                <w:sz w:val="26"/>
                <w:szCs w:val="26"/>
              </w:rPr>
              <w:t>8</w:t>
            </w:r>
            <w:r w:rsidRPr="008931E4">
              <w:rPr>
                <w:rFonts w:ascii="Times New Roman" w:eastAsia="標楷體" w:hAnsi="Times New Roman" w:cs="Arial" w:hint="eastAsia"/>
                <w:color w:val="000000"/>
                <w:kern w:val="0"/>
                <w:sz w:val="26"/>
                <w:szCs w:val="26"/>
              </w:rPr>
              <w:t>日修正發布「稅務違章案件減免處罰標準」部分條文及「稅務違章案件</w:t>
            </w:r>
            <w:proofErr w:type="gramStart"/>
            <w:r w:rsidRPr="008931E4">
              <w:rPr>
                <w:rFonts w:ascii="Times New Roman" w:eastAsia="標楷體" w:hAnsi="Times New Roman" w:cs="Arial" w:hint="eastAsia"/>
                <w:color w:val="000000"/>
                <w:kern w:val="0"/>
                <w:sz w:val="26"/>
                <w:szCs w:val="26"/>
              </w:rPr>
              <w:t>裁</w:t>
            </w:r>
            <w:proofErr w:type="gramEnd"/>
            <w:r w:rsidRPr="008931E4">
              <w:rPr>
                <w:rFonts w:ascii="Times New Roman" w:eastAsia="標楷體" w:hAnsi="Times New Roman" w:cs="Arial" w:hint="eastAsia"/>
                <w:color w:val="000000"/>
                <w:kern w:val="0"/>
                <w:sz w:val="26"/>
                <w:szCs w:val="26"/>
              </w:rPr>
              <w:t>罰金額或倍數參考表」所得稅法第</w:t>
            </w:r>
            <w:r w:rsidRPr="008931E4">
              <w:rPr>
                <w:rFonts w:ascii="Times New Roman" w:eastAsia="標楷體" w:hAnsi="Times New Roman" w:cs="Arial" w:hint="eastAsia"/>
                <w:color w:val="000000"/>
                <w:kern w:val="0"/>
                <w:sz w:val="26"/>
                <w:szCs w:val="26"/>
              </w:rPr>
              <w:t>111</w:t>
            </w:r>
            <w:r w:rsidRPr="008931E4">
              <w:rPr>
                <w:rFonts w:ascii="Times New Roman" w:eastAsia="標楷體" w:hAnsi="Times New Roman" w:cs="Arial" w:hint="eastAsia"/>
                <w:color w:val="000000"/>
                <w:kern w:val="0"/>
                <w:sz w:val="26"/>
                <w:szCs w:val="26"/>
              </w:rPr>
              <w:t>條、第</w:t>
            </w:r>
            <w:r w:rsidRPr="008931E4">
              <w:rPr>
                <w:rFonts w:ascii="Times New Roman" w:eastAsia="標楷體" w:hAnsi="Times New Roman" w:cs="Arial" w:hint="eastAsia"/>
                <w:color w:val="000000"/>
                <w:kern w:val="0"/>
                <w:sz w:val="26"/>
                <w:szCs w:val="26"/>
              </w:rPr>
              <w:t>114</w:t>
            </w:r>
            <w:r w:rsidRPr="008931E4">
              <w:rPr>
                <w:rFonts w:ascii="Times New Roman" w:eastAsia="標楷體" w:hAnsi="Times New Roman" w:cs="Arial" w:hint="eastAsia"/>
                <w:color w:val="000000"/>
                <w:kern w:val="0"/>
                <w:sz w:val="26"/>
                <w:szCs w:val="26"/>
              </w:rPr>
              <w:t>條、第</w:t>
            </w:r>
            <w:r w:rsidRPr="008931E4">
              <w:rPr>
                <w:rFonts w:ascii="Times New Roman" w:eastAsia="標楷體" w:hAnsi="Times New Roman" w:cs="Arial" w:hint="eastAsia"/>
                <w:color w:val="000000"/>
                <w:kern w:val="0"/>
                <w:sz w:val="26"/>
                <w:szCs w:val="26"/>
              </w:rPr>
              <w:t>114</w:t>
            </w:r>
            <w:r w:rsidRPr="008931E4">
              <w:rPr>
                <w:rFonts w:ascii="Times New Roman" w:eastAsia="標楷體" w:hAnsi="Times New Roman" w:cs="Arial" w:hint="eastAsia"/>
                <w:color w:val="000000"/>
                <w:kern w:val="0"/>
                <w:sz w:val="26"/>
                <w:szCs w:val="26"/>
              </w:rPr>
              <w:t>條之</w:t>
            </w:r>
            <w:r w:rsidRPr="008931E4">
              <w:rPr>
                <w:rFonts w:ascii="Times New Roman" w:eastAsia="標楷體" w:hAnsi="Times New Roman" w:cs="Arial" w:hint="eastAsia"/>
                <w:color w:val="000000"/>
                <w:kern w:val="0"/>
                <w:sz w:val="26"/>
                <w:szCs w:val="26"/>
              </w:rPr>
              <w:t>3</w:t>
            </w:r>
            <w:r w:rsidRPr="008931E4">
              <w:rPr>
                <w:rFonts w:ascii="Times New Roman" w:eastAsia="標楷體" w:hAnsi="Times New Roman" w:cs="Arial" w:hint="eastAsia"/>
                <w:color w:val="000000"/>
                <w:kern w:val="0"/>
                <w:sz w:val="26"/>
                <w:szCs w:val="26"/>
              </w:rPr>
              <w:t>第</w:t>
            </w:r>
            <w:r w:rsidRPr="008931E4">
              <w:rPr>
                <w:rFonts w:ascii="Times New Roman" w:eastAsia="標楷體" w:hAnsi="Times New Roman" w:cs="Arial" w:hint="eastAsia"/>
                <w:color w:val="000000"/>
                <w:kern w:val="0"/>
                <w:sz w:val="26"/>
                <w:szCs w:val="26"/>
              </w:rPr>
              <w:t>1</w:t>
            </w:r>
            <w:r w:rsidRPr="008931E4">
              <w:rPr>
                <w:rFonts w:ascii="Times New Roman" w:eastAsia="標楷體" w:hAnsi="Times New Roman" w:cs="Arial" w:hint="eastAsia"/>
                <w:color w:val="000000"/>
                <w:kern w:val="0"/>
                <w:sz w:val="26"/>
                <w:szCs w:val="26"/>
              </w:rPr>
              <w:t>項及第</w:t>
            </w:r>
            <w:r w:rsidRPr="008931E4">
              <w:rPr>
                <w:rFonts w:ascii="Times New Roman" w:eastAsia="標楷體" w:hAnsi="Times New Roman" w:cs="Arial" w:hint="eastAsia"/>
                <w:color w:val="000000"/>
                <w:kern w:val="0"/>
                <w:sz w:val="26"/>
                <w:szCs w:val="26"/>
              </w:rPr>
              <w:t>2</w:t>
            </w:r>
            <w:r w:rsidRPr="008931E4">
              <w:rPr>
                <w:rFonts w:ascii="Times New Roman" w:eastAsia="標楷體" w:hAnsi="Times New Roman" w:cs="Arial" w:hint="eastAsia"/>
                <w:color w:val="000000"/>
                <w:kern w:val="0"/>
                <w:sz w:val="26"/>
                <w:szCs w:val="26"/>
              </w:rPr>
              <w:t>項規定部分，以維護扣繳義務人權益。</w:t>
            </w:r>
          </w:p>
          <w:p w14:paraId="1C999473" w14:textId="77777777" w:rsidR="005E5F3E" w:rsidRPr="00ED4851" w:rsidRDefault="005E5F3E" w:rsidP="00C97469">
            <w:pPr>
              <w:pStyle w:val="ab"/>
              <w:numPr>
                <w:ilvl w:val="0"/>
                <w:numId w:val="13"/>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ED4851">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931E4">
              <w:rPr>
                <w:rFonts w:ascii="Times New Roman" w:eastAsia="標楷體" w:hAnsi="Times New Roman" w:cs="Arial" w:hint="eastAsia"/>
                <w:color w:val="000000"/>
                <w:kern w:val="0"/>
                <w:sz w:val="26"/>
                <w:szCs w:val="26"/>
              </w:rPr>
              <w:t>所得稅法第</w:t>
            </w:r>
            <w:r w:rsidRPr="008931E4">
              <w:rPr>
                <w:rFonts w:ascii="Times New Roman" w:eastAsia="標楷體" w:hAnsi="Times New Roman" w:cs="Arial" w:hint="eastAsia"/>
                <w:color w:val="000000"/>
                <w:kern w:val="0"/>
                <w:sz w:val="26"/>
                <w:szCs w:val="26"/>
              </w:rPr>
              <w:t>110</w:t>
            </w:r>
            <w:r w:rsidRPr="008931E4">
              <w:rPr>
                <w:rFonts w:ascii="Times New Roman" w:eastAsia="標楷體" w:hAnsi="Times New Roman" w:cs="Arial" w:hint="eastAsia"/>
                <w:color w:val="000000"/>
                <w:kern w:val="0"/>
                <w:sz w:val="26"/>
                <w:szCs w:val="26"/>
              </w:rPr>
              <w:t>條及第</w:t>
            </w:r>
            <w:r w:rsidRPr="008931E4">
              <w:rPr>
                <w:rFonts w:ascii="Times New Roman" w:eastAsia="標楷體" w:hAnsi="Times New Roman" w:cs="Arial" w:hint="eastAsia"/>
                <w:color w:val="000000"/>
                <w:kern w:val="0"/>
                <w:sz w:val="26"/>
                <w:szCs w:val="26"/>
              </w:rPr>
              <w:t>114</w:t>
            </w:r>
            <w:r w:rsidRPr="008931E4">
              <w:rPr>
                <w:rFonts w:ascii="Times New Roman" w:eastAsia="標楷體" w:hAnsi="Times New Roman" w:cs="Arial" w:hint="eastAsia"/>
                <w:color w:val="000000"/>
                <w:kern w:val="0"/>
                <w:sz w:val="26"/>
                <w:szCs w:val="26"/>
              </w:rPr>
              <w:t>條；稅捐</w:t>
            </w:r>
            <w:proofErr w:type="gramStart"/>
            <w:r w:rsidRPr="008931E4">
              <w:rPr>
                <w:rFonts w:ascii="Times New Roman" w:eastAsia="標楷體" w:hAnsi="Times New Roman" w:cs="Arial" w:hint="eastAsia"/>
                <w:color w:val="000000"/>
                <w:kern w:val="0"/>
                <w:sz w:val="26"/>
                <w:szCs w:val="26"/>
              </w:rPr>
              <w:t>稽</w:t>
            </w:r>
            <w:proofErr w:type="gramEnd"/>
            <w:r w:rsidRPr="008931E4">
              <w:rPr>
                <w:rFonts w:ascii="Times New Roman" w:eastAsia="標楷體" w:hAnsi="Times New Roman" w:cs="Arial" w:hint="eastAsia"/>
                <w:color w:val="000000"/>
                <w:kern w:val="0"/>
                <w:sz w:val="26"/>
                <w:szCs w:val="26"/>
              </w:rPr>
              <w:t>徵法第</w:t>
            </w:r>
            <w:r w:rsidRPr="008931E4">
              <w:rPr>
                <w:rFonts w:ascii="Times New Roman" w:eastAsia="標楷體" w:hAnsi="Times New Roman" w:cs="Arial" w:hint="eastAsia"/>
                <w:color w:val="000000"/>
                <w:kern w:val="0"/>
                <w:sz w:val="26"/>
                <w:szCs w:val="26"/>
              </w:rPr>
              <w:t>38</w:t>
            </w:r>
            <w:r w:rsidRPr="008931E4">
              <w:rPr>
                <w:rFonts w:ascii="Times New Roman" w:eastAsia="標楷體" w:hAnsi="Times New Roman" w:cs="Arial" w:hint="eastAsia"/>
                <w:color w:val="000000"/>
                <w:kern w:val="0"/>
                <w:sz w:val="26"/>
                <w:szCs w:val="26"/>
              </w:rPr>
              <w:t>條；稅務違章案件減免處罰標準第</w:t>
            </w:r>
            <w:r w:rsidRPr="008931E4">
              <w:rPr>
                <w:rFonts w:ascii="Times New Roman" w:eastAsia="標楷體" w:hAnsi="Times New Roman" w:cs="Arial" w:hint="eastAsia"/>
                <w:color w:val="000000"/>
                <w:kern w:val="0"/>
                <w:sz w:val="26"/>
                <w:szCs w:val="26"/>
              </w:rPr>
              <w:t>3</w:t>
            </w:r>
            <w:r w:rsidRPr="008931E4">
              <w:rPr>
                <w:rFonts w:ascii="Times New Roman" w:eastAsia="標楷體" w:hAnsi="Times New Roman" w:cs="Arial" w:hint="eastAsia"/>
                <w:color w:val="000000"/>
                <w:kern w:val="0"/>
                <w:sz w:val="26"/>
                <w:szCs w:val="26"/>
              </w:rPr>
              <w:t>條及第</w:t>
            </w:r>
            <w:r w:rsidRPr="008931E4">
              <w:rPr>
                <w:rFonts w:ascii="Times New Roman" w:eastAsia="標楷體" w:hAnsi="Times New Roman" w:cs="Arial" w:hint="eastAsia"/>
                <w:color w:val="000000"/>
                <w:kern w:val="0"/>
                <w:sz w:val="26"/>
                <w:szCs w:val="26"/>
              </w:rPr>
              <w:t>6</w:t>
            </w:r>
            <w:r w:rsidRPr="008931E4">
              <w:rPr>
                <w:rFonts w:ascii="Times New Roman" w:eastAsia="標楷體" w:hAnsi="Times New Roman" w:cs="Arial" w:hint="eastAsia"/>
                <w:color w:val="000000"/>
                <w:kern w:val="0"/>
                <w:sz w:val="26"/>
                <w:szCs w:val="26"/>
              </w:rPr>
              <w:t>條；稅務違章案件</w:t>
            </w:r>
            <w:proofErr w:type="gramStart"/>
            <w:r w:rsidRPr="008931E4">
              <w:rPr>
                <w:rFonts w:ascii="Times New Roman" w:eastAsia="標楷體" w:hAnsi="Times New Roman" w:cs="Arial" w:hint="eastAsia"/>
                <w:color w:val="000000"/>
                <w:kern w:val="0"/>
                <w:sz w:val="26"/>
                <w:szCs w:val="26"/>
              </w:rPr>
              <w:t>裁</w:t>
            </w:r>
            <w:proofErr w:type="gramEnd"/>
            <w:r w:rsidRPr="008931E4">
              <w:rPr>
                <w:rFonts w:ascii="Times New Roman" w:eastAsia="標楷體" w:hAnsi="Times New Roman" w:cs="Arial" w:hint="eastAsia"/>
                <w:color w:val="000000"/>
                <w:kern w:val="0"/>
                <w:sz w:val="26"/>
                <w:szCs w:val="26"/>
              </w:rPr>
              <w:t>罰金額或倍數參考表所得稅法規定部分</w:t>
            </w:r>
          </w:p>
        </w:tc>
        <w:tc>
          <w:tcPr>
            <w:tcW w:w="1417" w:type="dxa"/>
            <w:noWrap/>
          </w:tcPr>
          <w:p w14:paraId="4AE0BF8A"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47877330"/>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已參</w:t>
            </w:r>
            <w:proofErr w:type="gramStart"/>
            <w:r w:rsidR="005E5F3E" w:rsidRPr="00ED4851">
              <w:rPr>
                <w:rFonts w:ascii="Times New Roman" w:hAnsi="Times New Roman" w:hint="eastAsia"/>
                <w:color w:val="000000" w:themeColor="text1"/>
                <w:lang w:eastAsia="zh-TW"/>
              </w:rPr>
              <w:t>採</w:t>
            </w:r>
            <w:proofErr w:type="gramEnd"/>
          </w:p>
          <w:p w14:paraId="2B210114"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19049151"/>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r w:rsidR="005E5F3E" w:rsidRPr="00ED4851">
              <w:rPr>
                <w:rFonts w:ascii="Times New Roman" w:hAnsi="Times New Roman" w:hint="eastAsia"/>
                <w:color w:val="000000" w:themeColor="text1"/>
                <w:lang w:eastAsia="zh-TW"/>
              </w:rPr>
              <w:t>部分參</w:t>
            </w:r>
            <w:proofErr w:type="gramStart"/>
            <w:r w:rsidR="005E5F3E" w:rsidRPr="00ED4851">
              <w:rPr>
                <w:rFonts w:ascii="Times New Roman" w:hAnsi="Times New Roman" w:hint="eastAsia"/>
                <w:color w:val="000000" w:themeColor="text1"/>
                <w:lang w:eastAsia="zh-TW"/>
              </w:rPr>
              <w:t>採</w:t>
            </w:r>
            <w:proofErr w:type="gramEnd"/>
          </w:p>
          <w:p w14:paraId="2C331DFB" w14:textId="77777777" w:rsidR="005E5F3E" w:rsidRPr="00ED4851" w:rsidRDefault="00F845BD"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5001363"/>
                <w14:checkbox>
                  <w14:checked w14:val="0"/>
                  <w14:checkedState w14:val="0052" w14:font="Wingdings 2"/>
                  <w14:uncheckedState w14:val="2610" w14:font="MS Gothic"/>
                </w14:checkbox>
              </w:sdtPr>
              <w:sdtEndPr/>
              <w:sdtContent>
                <w:r w:rsidR="005E5F3E" w:rsidRPr="00ED4851">
                  <w:rPr>
                    <w:rFonts w:ascii="Segoe UI Symbol" w:hAnsi="Segoe UI Symbol" w:cs="Segoe UI Symbol"/>
                    <w:color w:val="000000" w:themeColor="text1"/>
                    <w:lang w:eastAsia="zh-TW"/>
                  </w:rPr>
                  <w:t>☐</w:t>
                </w:r>
              </w:sdtContent>
            </w:sdt>
            <w:proofErr w:type="gramStart"/>
            <w:r w:rsidR="005E5F3E" w:rsidRPr="00ED4851">
              <w:rPr>
                <w:rFonts w:ascii="Times New Roman" w:hAnsi="Times New Roman" w:hint="eastAsia"/>
                <w:color w:val="000000" w:themeColor="text1"/>
                <w:lang w:eastAsia="zh-TW"/>
              </w:rPr>
              <w:t>研</w:t>
            </w:r>
            <w:proofErr w:type="gramEnd"/>
            <w:r w:rsidR="005E5F3E" w:rsidRPr="00ED4851">
              <w:rPr>
                <w:rFonts w:ascii="Times New Roman" w:hAnsi="Times New Roman" w:hint="eastAsia"/>
                <w:color w:val="000000" w:themeColor="text1"/>
                <w:lang w:eastAsia="zh-TW"/>
              </w:rPr>
              <w:t>議中</w:t>
            </w:r>
          </w:p>
          <w:p w14:paraId="4011E520" w14:textId="77777777" w:rsidR="005E5F3E" w:rsidRPr="00ED4851" w:rsidRDefault="00F845BD"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091240622"/>
                <w14:checkbox>
                  <w14:checked w14:val="1"/>
                  <w14:checkedState w14:val="0052" w14:font="Wingdings 2"/>
                  <w14:uncheckedState w14:val="2610" w14:font="MS Gothic"/>
                </w14:checkbox>
              </w:sdtPr>
              <w:sdtEndPr/>
              <w:sdtContent>
                <w:r w:rsidR="005E5F3E">
                  <w:rPr>
                    <w:rFonts w:ascii="Times New Roman" w:eastAsia="標楷體" w:hAnsi="Times New Roman" w:hint="eastAsia"/>
                    <w:color w:val="000000" w:themeColor="text1"/>
                    <w:sz w:val="26"/>
                    <w:szCs w:val="26"/>
                  </w:rPr>
                  <w:sym w:font="Wingdings 2" w:char="F052"/>
                </w:r>
              </w:sdtContent>
            </w:sdt>
            <w:proofErr w:type="gramStart"/>
            <w:r w:rsidR="005E5F3E" w:rsidRPr="00ED4851">
              <w:rPr>
                <w:rFonts w:ascii="Times New Roman" w:eastAsia="標楷體" w:hAnsi="Times New Roman" w:hint="eastAsia"/>
                <w:color w:val="000000" w:themeColor="text1"/>
                <w:sz w:val="26"/>
                <w:szCs w:val="26"/>
              </w:rPr>
              <w:t>不</w:t>
            </w:r>
            <w:proofErr w:type="gramEnd"/>
            <w:r w:rsidR="005E5F3E" w:rsidRPr="00ED4851">
              <w:rPr>
                <w:rFonts w:ascii="Times New Roman" w:eastAsia="標楷體" w:hAnsi="Times New Roman" w:hint="eastAsia"/>
                <w:color w:val="000000" w:themeColor="text1"/>
                <w:sz w:val="26"/>
                <w:szCs w:val="26"/>
              </w:rPr>
              <w:t>參</w:t>
            </w:r>
            <w:proofErr w:type="gramStart"/>
            <w:r w:rsidR="005E5F3E" w:rsidRPr="00ED4851">
              <w:rPr>
                <w:rFonts w:ascii="Times New Roman" w:eastAsia="標楷體" w:hAnsi="Times New Roman" w:hint="eastAsia"/>
                <w:color w:val="000000" w:themeColor="text1"/>
                <w:sz w:val="26"/>
                <w:szCs w:val="26"/>
              </w:rPr>
              <w:t>採</w:t>
            </w:r>
            <w:proofErr w:type="gramEnd"/>
          </w:p>
        </w:tc>
      </w:tr>
    </w:tbl>
    <w:p w14:paraId="69198EC0" w14:textId="77777777" w:rsidR="00210768" w:rsidRPr="005E5F3E" w:rsidRDefault="00210768" w:rsidP="005E5F3E"/>
    <w:sectPr w:rsidR="00210768" w:rsidRPr="005E5F3E" w:rsidSect="00C97469">
      <w:footerReference w:type="default" r:id="rId7"/>
      <w:pgSz w:w="16838" w:h="11906" w:orient="landscape"/>
      <w:pgMar w:top="567" w:right="395" w:bottom="567" w:left="567" w:header="851" w:footer="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A6DD" w14:textId="77777777" w:rsidR="00C97469" w:rsidRDefault="00C97469" w:rsidP="00C97469">
      <w:r>
        <w:separator/>
      </w:r>
    </w:p>
  </w:endnote>
  <w:endnote w:type="continuationSeparator" w:id="0">
    <w:p w14:paraId="387837B4" w14:textId="77777777" w:rsidR="00C97469" w:rsidRDefault="00C97469" w:rsidP="00C9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405557"/>
      <w:docPartObj>
        <w:docPartGallery w:val="Page Numbers (Bottom of Page)"/>
        <w:docPartUnique/>
      </w:docPartObj>
    </w:sdtPr>
    <w:sdtContent>
      <w:p w14:paraId="167A90E7" w14:textId="36AD23E8" w:rsidR="00C97469" w:rsidRDefault="00C97469">
        <w:pPr>
          <w:pStyle w:val="af3"/>
          <w:jc w:val="center"/>
        </w:pPr>
        <w:r>
          <w:fldChar w:fldCharType="begin"/>
        </w:r>
        <w:r>
          <w:instrText>PAGE   \* MERGEFORMAT</w:instrText>
        </w:r>
        <w:r>
          <w:fldChar w:fldCharType="separate"/>
        </w:r>
        <w:r>
          <w:rPr>
            <w:lang w:val="zh-TW"/>
          </w:rPr>
          <w:t>2</w:t>
        </w:r>
        <w:r>
          <w:fldChar w:fldCharType="end"/>
        </w:r>
      </w:p>
    </w:sdtContent>
  </w:sdt>
  <w:p w14:paraId="6D7CD892" w14:textId="77777777" w:rsidR="00C97469" w:rsidRDefault="00C9746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67C3" w14:textId="77777777" w:rsidR="00C97469" w:rsidRDefault="00C97469" w:rsidP="00C97469">
      <w:r>
        <w:separator/>
      </w:r>
    </w:p>
  </w:footnote>
  <w:footnote w:type="continuationSeparator" w:id="0">
    <w:p w14:paraId="1DF26AF4" w14:textId="77777777" w:rsidR="00C97469" w:rsidRDefault="00C97469" w:rsidP="00C9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6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AD494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055A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59734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E46B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933E0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D7B1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A77CE8"/>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04021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1A291E"/>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3D64C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1D36F0"/>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087CFE"/>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717B2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36527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857D88"/>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727DD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787423"/>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E36E4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E7363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627E6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ED16F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115EC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8C31F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18118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163000"/>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D351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1F275E"/>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6B61FA"/>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A22DB6"/>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085BC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CC3D6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7B107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9E52A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16071C"/>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E5369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C4206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57291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AF6CA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1B484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0D1ED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2D461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9"/>
  </w:num>
  <w:num w:numId="2" w16cid:durableId="1827472661">
    <w:abstractNumId w:val="31"/>
  </w:num>
  <w:num w:numId="3" w16cid:durableId="957106390">
    <w:abstractNumId w:val="32"/>
  </w:num>
  <w:num w:numId="4" w16cid:durableId="317349139">
    <w:abstractNumId w:val="25"/>
  </w:num>
  <w:num w:numId="5" w16cid:durableId="1983536607">
    <w:abstractNumId w:val="21"/>
  </w:num>
  <w:num w:numId="6" w16cid:durableId="1078595016">
    <w:abstractNumId w:val="17"/>
  </w:num>
  <w:num w:numId="7" w16cid:durableId="89160558">
    <w:abstractNumId w:val="8"/>
  </w:num>
  <w:num w:numId="8" w16cid:durableId="1116094631">
    <w:abstractNumId w:val="10"/>
  </w:num>
  <w:num w:numId="9" w16cid:durableId="449862928">
    <w:abstractNumId w:val="29"/>
  </w:num>
  <w:num w:numId="10" w16cid:durableId="1691296530">
    <w:abstractNumId w:val="34"/>
  </w:num>
  <w:num w:numId="11" w16cid:durableId="427426378">
    <w:abstractNumId w:val="36"/>
  </w:num>
  <w:num w:numId="12" w16cid:durableId="1582833963">
    <w:abstractNumId w:val="27"/>
  </w:num>
  <w:num w:numId="13" w16cid:durableId="1900434007">
    <w:abstractNumId w:val="5"/>
  </w:num>
  <w:num w:numId="14" w16cid:durableId="1862356526">
    <w:abstractNumId w:val="13"/>
  </w:num>
  <w:num w:numId="15" w16cid:durableId="887760728">
    <w:abstractNumId w:val="12"/>
  </w:num>
  <w:num w:numId="16" w16cid:durableId="851262833">
    <w:abstractNumId w:val="18"/>
  </w:num>
  <w:num w:numId="17" w16cid:durableId="1758135520">
    <w:abstractNumId w:val="0"/>
  </w:num>
  <w:num w:numId="18" w16cid:durableId="813834705">
    <w:abstractNumId w:val="26"/>
  </w:num>
  <w:num w:numId="19" w16cid:durableId="895358632">
    <w:abstractNumId w:val="15"/>
  </w:num>
  <w:num w:numId="20" w16cid:durableId="577398892">
    <w:abstractNumId w:val="30"/>
  </w:num>
  <w:num w:numId="21" w16cid:durableId="1559895820">
    <w:abstractNumId w:val="16"/>
  </w:num>
  <w:num w:numId="22" w16cid:durableId="1374159890">
    <w:abstractNumId w:val="7"/>
  </w:num>
  <w:num w:numId="23" w16cid:durableId="255137244">
    <w:abstractNumId w:val="28"/>
  </w:num>
  <w:num w:numId="24" w16cid:durableId="556428882">
    <w:abstractNumId w:val="38"/>
  </w:num>
  <w:num w:numId="25" w16cid:durableId="152721471">
    <w:abstractNumId w:val="4"/>
  </w:num>
  <w:num w:numId="26" w16cid:durableId="1876655410">
    <w:abstractNumId w:val="22"/>
  </w:num>
  <w:num w:numId="27" w16cid:durableId="985552127">
    <w:abstractNumId w:val="1"/>
  </w:num>
  <w:num w:numId="28" w16cid:durableId="1633243507">
    <w:abstractNumId w:val="37"/>
  </w:num>
  <w:num w:numId="29" w16cid:durableId="62261908">
    <w:abstractNumId w:val="40"/>
  </w:num>
  <w:num w:numId="30" w16cid:durableId="2108765555">
    <w:abstractNumId w:val="3"/>
  </w:num>
  <w:num w:numId="31" w16cid:durableId="1842885777">
    <w:abstractNumId w:val="2"/>
  </w:num>
  <w:num w:numId="32" w16cid:durableId="1720937603">
    <w:abstractNumId w:val="33"/>
  </w:num>
  <w:num w:numId="33" w16cid:durableId="802118495">
    <w:abstractNumId w:val="14"/>
  </w:num>
  <w:num w:numId="34" w16cid:durableId="489906377">
    <w:abstractNumId w:val="6"/>
  </w:num>
  <w:num w:numId="35" w16cid:durableId="819346809">
    <w:abstractNumId w:val="20"/>
  </w:num>
  <w:num w:numId="36" w16cid:durableId="1470899319">
    <w:abstractNumId w:val="24"/>
  </w:num>
  <w:num w:numId="37" w16cid:durableId="1188563388">
    <w:abstractNumId w:val="35"/>
  </w:num>
  <w:num w:numId="38" w16cid:durableId="342561251">
    <w:abstractNumId w:val="23"/>
  </w:num>
  <w:num w:numId="39" w16cid:durableId="1174950531">
    <w:abstractNumId w:val="42"/>
  </w:num>
  <w:num w:numId="40" w16cid:durableId="1679042039">
    <w:abstractNumId w:val="11"/>
  </w:num>
  <w:num w:numId="41" w16cid:durableId="785999175">
    <w:abstractNumId w:val="39"/>
  </w:num>
  <w:num w:numId="42" w16cid:durableId="1668048172">
    <w:abstractNumId w:val="41"/>
  </w:num>
  <w:num w:numId="43" w16cid:durableId="823473970">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033E9E"/>
    <w:rsid w:val="00124166"/>
    <w:rsid w:val="00153FA4"/>
    <w:rsid w:val="001677A3"/>
    <w:rsid w:val="001B1A9E"/>
    <w:rsid w:val="00210768"/>
    <w:rsid w:val="002122A7"/>
    <w:rsid w:val="002B695E"/>
    <w:rsid w:val="00461FAB"/>
    <w:rsid w:val="00473641"/>
    <w:rsid w:val="00537C08"/>
    <w:rsid w:val="00543107"/>
    <w:rsid w:val="00575C2C"/>
    <w:rsid w:val="005E5F3E"/>
    <w:rsid w:val="00614CCC"/>
    <w:rsid w:val="006D1E88"/>
    <w:rsid w:val="00852CA8"/>
    <w:rsid w:val="00BC58AA"/>
    <w:rsid w:val="00C97469"/>
    <w:rsid w:val="00D2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4</cp:revision>
  <dcterms:created xsi:type="dcterms:W3CDTF">2026-02-11T07:46:00Z</dcterms:created>
  <dcterms:modified xsi:type="dcterms:W3CDTF">2026-02-11T08:14:00Z</dcterms:modified>
</cp:coreProperties>
</file>