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F793" w14:textId="6629C298" w:rsidR="001E4C09" w:rsidRPr="00C61699" w:rsidRDefault="00665E60" w:rsidP="00970A6E">
      <w:pPr>
        <w:pStyle w:val="a3"/>
        <w:kinsoku w:val="0"/>
        <w:overflowPunct w:val="0"/>
        <w:spacing w:line="557" w:lineRule="exact"/>
        <w:ind w:left="0" w:right="122"/>
        <w:jc w:val="center"/>
        <w:rPr>
          <w:rFonts w:ascii="Times New Roman" w:cs="Times New Roman"/>
          <w:color w:val="000000" w:themeColor="text1"/>
          <w:spacing w:val="-3"/>
          <w:sz w:val="40"/>
          <w:szCs w:val="40"/>
        </w:rPr>
      </w:pPr>
      <w:r w:rsidRPr="00C61699">
        <w:rPr>
          <w:rFonts w:ascii="Times New Roman" w:cs="Times New Roman"/>
          <w:color w:val="000000" w:themeColor="text1"/>
          <w:spacing w:val="-3"/>
          <w:sz w:val="40"/>
          <w:szCs w:val="40"/>
        </w:rPr>
        <w:t>「</w:t>
      </w:r>
      <w:proofErr w:type="gramStart"/>
      <w:r w:rsidR="007B14C2" w:rsidRPr="00C61699">
        <w:rPr>
          <w:rFonts w:ascii="Times New Roman" w:cs="Times New Roman"/>
          <w:color w:val="000000" w:themeColor="text1"/>
          <w:spacing w:val="-3"/>
          <w:sz w:val="40"/>
          <w:szCs w:val="40"/>
        </w:rPr>
        <w:t>碳費收</w:t>
      </w:r>
      <w:r w:rsidR="000D7F94" w:rsidRPr="00C61699">
        <w:rPr>
          <w:rFonts w:ascii="Times New Roman" w:cs="Times New Roman" w:hint="eastAsia"/>
          <w:color w:val="000000" w:themeColor="text1"/>
          <w:spacing w:val="-3"/>
          <w:sz w:val="40"/>
          <w:szCs w:val="40"/>
        </w:rPr>
        <w:t>費</w:t>
      </w:r>
      <w:proofErr w:type="gramEnd"/>
      <w:r w:rsidR="007B14C2" w:rsidRPr="00C61699">
        <w:rPr>
          <w:rFonts w:ascii="Times New Roman" w:cs="Times New Roman"/>
          <w:color w:val="000000" w:themeColor="text1"/>
          <w:spacing w:val="-3"/>
          <w:sz w:val="40"/>
          <w:szCs w:val="40"/>
        </w:rPr>
        <w:t>辦法</w:t>
      </w:r>
      <w:r w:rsidR="00860BE5" w:rsidRPr="00C61699">
        <w:rPr>
          <w:rFonts w:ascii="Times New Roman" w:cs="Times New Roman"/>
          <w:color w:val="000000" w:themeColor="text1"/>
          <w:spacing w:val="-3"/>
          <w:sz w:val="40"/>
          <w:szCs w:val="40"/>
        </w:rPr>
        <w:t>」</w:t>
      </w:r>
      <w:r w:rsidR="00CC614A" w:rsidRPr="00C61699">
        <w:rPr>
          <w:rFonts w:ascii="Times New Roman" w:cs="Times New Roman"/>
          <w:color w:val="000000" w:themeColor="text1"/>
          <w:spacing w:val="-3"/>
          <w:sz w:val="40"/>
          <w:szCs w:val="40"/>
        </w:rPr>
        <w:t>草案</w:t>
      </w:r>
      <w:r w:rsidR="00860BE5" w:rsidRPr="00C61699">
        <w:rPr>
          <w:rFonts w:ascii="Times New Roman" w:cs="Times New Roman"/>
          <w:color w:val="000000" w:themeColor="text1"/>
          <w:spacing w:val="-3"/>
          <w:sz w:val="40"/>
          <w:szCs w:val="40"/>
        </w:rPr>
        <w:t>修正</w:t>
      </w:r>
      <w:r w:rsidR="007D4F28" w:rsidRPr="00C61699">
        <w:rPr>
          <w:rFonts w:ascii="Times New Roman" w:cs="Times New Roman"/>
          <w:color w:val="000000" w:themeColor="text1"/>
          <w:spacing w:val="-3"/>
          <w:sz w:val="40"/>
          <w:szCs w:val="40"/>
        </w:rPr>
        <w:t>意見回復表</w:t>
      </w:r>
    </w:p>
    <w:p w14:paraId="787BACD3" w14:textId="7F868C7F" w:rsidR="00970A6E" w:rsidRPr="00C61699" w:rsidRDefault="007B14C2" w:rsidP="00970A6E">
      <w:pPr>
        <w:pStyle w:val="a3"/>
        <w:kinsoku w:val="0"/>
        <w:wordWrap w:val="0"/>
        <w:overflowPunct w:val="0"/>
        <w:spacing w:before="9"/>
        <w:ind w:left="0" w:right="232"/>
        <w:jc w:val="right"/>
        <w:rPr>
          <w:rFonts w:ascii="Times New Roman" w:cs="Times New Roman"/>
          <w:color w:val="000000" w:themeColor="text1"/>
          <w:sz w:val="22"/>
          <w:szCs w:val="22"/>
        </w:rPr>
      </w:pPr>
      <w:r w:rsidRPr="00C61699">
        <w:rPr>
          <w:rFonts w:ascii="Times New Roman" w:cs="Times New Roman"/>
          <w:color w:val="000000" w:themeColor="text1"/>
          <w:sz w:val="22"/>
          <w:szCs w:val="22"/>
        </w:rPr>
        <w:t xml:space="preserve">  </w:t>
      </w:r>
    </w:p>
    <w:tbl>
      <w:tblPr>
        <w:tblW w:w="15461" w:type="dxa"/>
        <w:tblInd w:w="-5" w:type="dxa"/>
        <w:tblLayout w:type="fixed"/>
        <w:tblCellMar>
          <w:left w:w="0" w:type="dxa"/>
          <w:right w:w="0" w:type="dxa"/>
        </w:tblCellMar>
        <w:tblLook w:val="0000" w:firstRow="0" w:lastRow="0" w:firstColumn="0" w:lastColumn="0" w:noHBand="0" w:noVBand="0"/>
      </w:tblPr>
      <w:tblGrid>
        <w:gridCol w:w="5113"/>
        <w:gridCol w:w="5245"/>
        <w:gridCol w:w="5103"/>
      </w:tblGrid>
      <w:tr w:rsidR="00C61699" w:rsidRPr="00C61699" w14:paraId="07ECDD76" w14:textId="77777777" w:rsidTr="00D62CC4">
        <w:trPr>
          <w:trHeight w:val="398"/>
          <w:tblHeader/>
        </w:trPr>
        <w:tc>
          <w:tcPr>
            <w:tcW w:w="5113" w:type="dxa"/>
            <w:tcBorders>
              <w:top w:val="single" w:sz="4" w:space="0" w:color="000000"/>
              <w:left w:val="single" w:sz="4" w:space="0" w:color="000000"/>
              <w:bottom w:val="single" w:sz="4" w:space="0" w:color="000000"/>
              <w:right w:val="single" w:sz="4" w:space="0" w:color="000000"/>
            </w:tcBorders>
            <w:vAlign w:val="center"/>
          </w:tcPr>
          <w:p w14:paraId="77C6BCFB" w14:textId="6F80DA3A" w:rsidR="007B14C2" w:rsidRPr="00C61699" w:rsidRDefault="007B14C2" w:rsidP="009A2BA6">
            <w:pPr>
              <w:pStyle w:val="TableParagraph"/>
              <w:kinsoku w:val="0"/>
              <w:overflowPunct w:val="0"/>
              <w:spacing w:before="4" w:line="223" w:lineRule="auto"/>
              <w:ind w:left="275" w:right="29" w:hanging="216"/>
              <w:jc w:val="center"/>
              <w:rPr>
                <w:rFonts w:ascii="Times New Roman" w:cs="Times New Roman"/>
                <w:color w:val="000000" w:themeColor="text1"/>
                <w:spacing w:val="12"/>
              </w:rPr>
            </w:pPr>
            <w:r w:rsidRPr="00C61699">
              <w:rPr>
                <w:rFonts w:ascii="Times New Roman" w:cs="Times New Roman"/>
                <w:color w:val="000000" w:themeColor="text1"/>
                <w:spacing w:val="12"/>
              </w:rPr>
              <w:t>草案條文</w:t>
            </w:r>
            <w:r w:rsidR="00C940C8" w:rsidRPr="00C61699">
              <w:rPr>
                <w:rFonts w:ascii="Times New Roman" w:cs="Times New Roman" w:hint="eastAsia"/>
                <w:color w:val="000000" w:themeColor="text1"/>
                <w:spacing w:val="12"/>
              </w:rPr>
              <w:t>(113.04.29</w:t>
            </w:r>
            <w:r w:rsidR="00C940C8" w:rsidRPr="00C61699">
              <w:rPr>
                <w:rFonts w:ascii="Times New Roman" w:cs="Times New Roman" w:hint="eastAsia"/>
                <w:color w:val="000000" w:themeColor="text1"/>
                <w:spacing w:val="12"/>
              </w:rPr>
              <w:t>預告版</w:t>
            </w:r>
            <w:r w:rsidR="00C940C8" w:rsidRPr="00C61699">
              <w:rPr>
                <w:rFonts w:ascii="Times New Roman" w:cs="Times New Roman" w:hint="eastAsia"/>
                <w:color w:val="000000" w:themeColor="text1"/>
                <w:spacing w:val="12"/>
              </w:rPr>
              <w:t>)</w:t>
            </w:r>
          </w:p>
        </w:tc>
        <w:tc>
          <w:tcPr>
            <w:tcW w:w="5245" w:type="dxa"/>
            <w:tcBorders>
              <w:top w:val="single" w:sz="4" w:space="0" w:color="000000"/>
              <w:left w:val="single" w:sz="4" w:space="0" w:color="000000"/>
              <w:bottom w:val="single" w:sz="4" w:space="0" w:color="000000"/>
              <w:right w:val="single" w:sz="4" w:space="0" w:color="000000"/>
            </w:tcBorders>
            <w:vAlign w:val="center"/>
          </w:tcPr>
          <w:p w14:paraId="0893C1DA" w14:textId="77777777" w:rsidR="007B14C2" w:rsidRPr="00C61699" w:rsidRDefault="007B14C2" w:rsidP="009A2BA6">
            <w:pPr>
              <w:pStyle w:val="TableParagraph"/>
              <w:kinsoku w:val="0"/>
              <w:overflowPunct w:val="0"/>
              <w:spacing w:before="4" w:line="223" w:lineRule="auto"/>
              <w:ind w:leftChars="10" w:left="2001" w:hanging="1979"/>
              <w:jc w:val="center"/>
              <w:rPr>
                <w:rFonts w:ascii="Times New Roman" w:cs="Times New Roman"/>
                <w:color w:val="000000" w:themeColor="text1"/>
                <w:spacing w:val="12"/>
              </w:rPr>
            </w:pPr>
            <w:r w:rsidRPr="00C61699">
              <w:rPr>
                <w:rFonts w:ascii="Times New Roman" w:cs="Times New Roman"/>
                <w:color w:val="000000" w:themeColor="text1"/>
                <w:spacing w:val="12"/>
              </w:rPr>
              <w:t>建議修正條文</w:t>
            </w:r>
          </w:p>
        </w:tc>
        <w:tc>
          <w:tcPr>
            <w:tcW w:w="5103" w:type="dxa"/>
            <w:tcBorders>
              <w:top w:val="single" w:sz="4" w:space="0" w:color="000000"/>
              <w:left w:val="single" w:sz="4" w:space="0" w:color="000000"/>
              <w:bottom w:val="single" w:sz="4" w:space="0" w:color="000000"/>
              <w:right w:val="single" w:sz="4" w:space="0" w:color="000000"/>
            </w:tcBorders>
            <w:vAlign w:val="center"/>
          </w:tcPr>
          <w:p w14:paraId="2780814B" w14:textId="22B3CDB3" w:rsidR="007B14C2" w:rsidRPr="00C61699" w:rsidRDefault="007B14C2" w:rsidP="009A2BA6">
            <w:pPr>
              <w:pStyle w:val="TableParagraph"/>
              <w:kinsoku w:val="0"/>
              <w:overflowPunct w:val="0"/>
              <w:spacing w:before="4" w:line="223" w:lineRule="auto"/>
              <w:ind w:leftChars="10" w:left="2001" w:hanging="1979"/>
              <w:jc w:val="center"/>
              <w:rPr>
                <w:rFonts w:ascii="Times New Roman" w:cs="Times New Roman"/>
                <w:color w:val="000000" w:themeColor="text1"/>
                <w:spacing w:val="12"/>
              </w:rPr>
            </w:pPr>
            <w:r w:rsidRPr="00C61699">
              <w:rPr>
                <w:rFonts w:ascii="Times New Roman" w:cs="Times New Roman"/>
                <w:color w:val="000000" w:themeColor="text1"/>
                <w:spacing w:val="12"/>
              </w:rPr>
              <w:t>建議修正說明</w:t>
            </w:r>
          </w:p>
        </w:tc>
      </w:tr>
      <w:tr w:rsidR="00C61699" w:rsidRPr="00C61699" w14:paraId="4B50E771" w14:textId="77777777" w:rsidTr="00D62CC4">
        <w:trPr>
          <w:trHeight w:val="935"/>
        </w:trPr>
        <w:tc>
          <w:tcPr>
            <w:tcW w:w="5113" w:type="dxa"/>
            <w:tcBorders>
              <w:top w:val="single" w:sz="4" w:space="0" w:color="000000"/>
              <w:left w:val="single" w:sz="4" w:space="0" w:color="000000"/>
              <w:bottom w:val="single" w:sz="4" w:space="0" w:color="000000"/>
              <w:right w:val="single" w:sz="4" w:space="0" w:color="000000"/>
            </w:tcBorders>
          </w:tcPr>
          <w:p w14:paraId="24F8A8B9" w14:textId="69877ACD" w:rsidR="007B14C2" w:rsidRPr="00C61699" w:rsidRDefault="00495347" w:rsidP="002D0662">
            <w:pPr>
              <w:pStyle w:val="Default"/>
              <w:ind w:left="302" w:hangingChars="126" w:hanging="302"/>
              <w:jc w:val="both"/>
              <w:rPr>
                <w:rFonts w:ascii="Times New Roman" w:hAnsi="Times New Roman" w:cs="Times New Roman"/>
                <w:color w:val="000000" w:themeColor="text1"/>
              </w:rPr>
            </w:pPr>
            <w:r w:rsidRPr="00C61699">
              <w:rPr>
                <w:rFonts w:ascii="Times New Roman" w:hAnsi="Times New Roman" w:cs="Times New Roman"/>
                <w:color w:val="000000" w:themeColor="text1"/>
              </w:rPr>
              <w:t>第一條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本辦法依氣候變遷因應法（以下簡稱本法）第二十七條第二項、第二十八條第四項及第三十條第二項規定訂定之。</w:t>
            </w:r>
          </w:p>
        </w:tc>
        <w:tc>
          <w:tcPr>
            <w:tcW w:w="5245" w:type="dxa"/>
            <w:tcBorders>
              <w:top w:val="single" w:sz="4" w:space="0" w:color="000000"/>
              <w:left w:val="single" w:sz="4" w:space="0" w:color="000000"/>
              <w:bottom w:val="single" w:sz="4" w:space="0" w:color="000000"/>
              <w:right w:val="single" w:sz="4" w:space="0" w:color="000000"/>
            </w:tcBorders>
          </w:tcPr>
          <w:p w14:paraId="6E9A92CB" w14:textId="77777777" w:rsidR="007B14C2" w:rsidRPr="00C61699" w:rsidRDefault="007B14C2" w:rsidP="009A2BA6">
            <w:pPr>
              <w:pStyle w:val="TableParagraph"/>
              <w:kinsoku w:val="0"/>
              <w:overflowPunct w:val="0"/>
              <w:spacing w:line="323" w:lineRule="exact"/>
              <w:ind w:leftChars="10" w:left="2001" w:hanging="1979"/>
              <w:jc w:val="left"/>
              <w:rPr>
                <w:rFonts w:ascii="Times New Roman" w:cs="Times New Roman"/>
                <w:color w:val="000000" w:themeColor="text1"/>
                <w:spacing w:val="-2"/>
              </w:rPr>
            </w:pPr>
          </w:p>
        </w:tc>
        <w:tc>
          <w:tcPr>
            <w:tcW w:w="5103" w:type="dxa"/>
            <w:tcBorders>
              <w:top w:val="single" w:sz="4" w:space="0" w:color="000000"/>
              <w:left w:val="single" w:sz="4" w:space="0" w:color="000000"/>
              <w:bottom w:val="single" w:sz="4" w:space="0" w:color="000000"/>
              <w:right w:val="single" w:sz="4" w:space="0" w:color="000000"/>
            </w:tcBorders>
          </w:tcPr>
          <w:p w14:paraId="3AFE5D5F" w14:textId="77777777" w:rsidR="007B14C2" w:rsidRPr="00C61699" w:rsidRDefault="007B14C2" w:rsidP="009A2BA6">
            <w:pPr>
              <w:pStyle w:val="TableParagraph"/>
              <w:kinsoku w:val="0"/>
              <w:overflowPunct w:val="0"/>
              <w:spacing w:line="323" w:lineRule="exact"/>
              <w:ind w:leftChars="10" w:left="2001" w:hanging="1979"/>
              <w:jc w:val="left"/>
              <w:rPr>
                <w:rFonts w:ascii="Times New Roman" w:cs="Times New Roman"/>
                <w:color w:val="000000" w:themeColor="text1"/>
                <w:spacing w:val="-2"/>
              </w:rPr>
            </w:pPr>
          </w:p>
        </w:tc>
      </w:tr>
      <w:tr w:rsidR="00C61699" w:rsidRPr="00C61699" w14:paraId="71368122" w14:textId="77777777" w:rsidTr="00D62CC4">
        <w:trPr>
          <w:trHeight w:val="585"/>
        </w:trPr>
        <w:tc>
          <w:tcPr>
            <w:tcW w:w="5113" w:type="dxa"/>
            <w:tcBorders>
              <w:top w:val="single" w:sz="4" w:space="0" w:color="000000"/>
              <w:left w:val="single" w:sz="4" w:space="0" w:color="000000"/>
              <w:bottom w:val="single" w:sz="4" w:space="0" w:color="000000"/>
              <w:right w:val="single" w:sz="4" w:space="0" w:color="000000"/>
            </w:tcBorders>
          </w:tcPr>
          <w:p w14:paraId="44BFF0B9" w14:textId="74BC0837" w:rsidR="007B14C2" w:rsidRPr="00C61699" w:rsidRDefault="00495347" w:rsidP="002D0662">
            <w:pPr>
              <w:pStyle w:val="Default"/>
              <w:ind w:left="302" w:hangingChars="126" w:hanging="302"/>
              <w:rPr>
                <w:rFonts w:ascii="Times New Roman" w:hAnsi="Times New Roman" w:cs="Times New Roman"/>
                <w:color w:val="000000" w:themeColor="text1"/>
              </w:rPr>
            </w:pPr>
            <w:r w:rsidRPr="00C61699">
              <w:rPr>
                <w:rFonts w:ascii="Times New Roman" w:hAnsi="Times New Roman" w:cs="Times New Roman"/>
                <w:color w:val="000000" w:themeColor="text1"/>
              </w:rPr>
              <w:t>第二條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本辦法所</w:t>
            </w:r>
            <w:proofErr w:type="gramStart"/>
            <w:r w:rsidRPr="00C61699">
              <w:rPr>
                <w:rFonts w:ascii="Times New Roman" w:hAnsi="Times New Roman" w:cs="Times New Roman"/>
                <w:color w:val="000000" w:themeColor="text1"/>
              </w:rPr>
              <w:t>稱碳費</w:t>
            </w:r>
            <w:proofErr w:type="gramEnd"/>
            <w:r w:rsidR="004A5CEC" w:rsidRPr="00C61699">
              <w:rPr>
                <w:rFonts w:ascii="Times New Roman" w:hAnsi="Times New Roman" w:cs="Times New Roman" w:hint="eastAsia"/>
                <w:color w:val="000000" w:themeColor="text1"/>
              </w:rPr>
              <w:t>，</w:t>
            </w:r>
            <w:r w:rsidRPr="00C61699">
              <w:rPr>
                <w:rFonts w:ascii="Times New Roman" w:hAnsi="Times New Roman" w:cs="Times New Roman"/>
                <w:color w:val="000000" w:themeColor="text1"/>
              </w:rPr>
              <w:t>指對事業經盤查登錄</w:t>
            </w:r>
            <w:r w:rsidR="00941F8A" w:rsidRPr="00C61699">
              <w:rPr>
                <w:rFonts w:ascii="Times New Roman" w:hAnsi="Times New Roman" w:cs="Times New Roman" w:hint="eastAsia"/>
                <w:color w:val="000000" w:themeColor="text1"/>
              </w:rPr>
              <w:t>與</w:t>
            </w:r>
            <w:r w:rsidRPr="00C61699">
              <w:rPr>
                <w:rFonts w:ascii="Times New Roman" w:hAnsi="Times New Roman" w:cs="Times New Roman"/>
                <w:strike/>
                <w:color w:val="000000" w:themeColor="text1"/>
              </w:rPr>
              <w:t>及</w:t>
            </w:r>
            <w:r w:rsidRPr="00C61699">
              <w:rPr>
                <w:rFonts w:ascii="Times New Roman" w:hAnsi="Times New Roman" w:cs="Times New Roman"/>
                <w:color w:val="000000" w:themeColor="text1"/>
              </w:rPr>
              <w:t>查驗後之溫室氣體直接排放量及使用電力溫室氣體間接排放量，換算為二氧化碳當量所徵收之費用。</w:t>
            </w:r>
          </w:p>
        </w:tc>
        <w:tc>
          <w:tcPr>
            <w:tcW w:w="5245" w:type="dxa"/>
            <w:tcBorders>
              <w:top w:val="single" w:sz="4" w:space="0" w:color="000000"/>
              <w:left w:val="single" w:sz="4" w:space="0" w:color="000000"/>
              <w:bottom w:val="single" w:sz="4" w:space="0" w:color="000000"/>
              <w:right w:val="single" w:sz="4" w:space="0" w:color="000000"/>
            </w:tcBorders>
          </w:tcPr>
          <w:p w14:paraId="0B0EE51A" w14:textId="77777777" w:rsidR="007B14C2" w:rsidRPr="00C61699" w:rsidRDefault="007B14C2" w:rsidP="009A2BA6">
            <w:pPr>
              <w:pStyle w:val="TableParagraph"/>
              <w:kinsoku w:val="0"/>
              <w:overflowPunct w:val="0"/>
              <w:spacing w:before="7" w:line="223" w:lineRule="auto"/>
              <w:ind w:leftChars="10" w:left="2001" w:hanging="1979"/>
              <w:rPr>
                <w:rFonts w:ascii="Times New Roman" w:cs="Times New Roman"/>
                <w:color w:val="000000" w:themeColor="text1"/>
                <w:spacing w:val="-3"/>
              </w:rPr>
            </w:pPr>
          </w:p>
        </w:tc>
        <w:tc>
          <w:tcPr>
            <w:tcW w:w="5103" w:type="dxa"/>
            <w:tcBorders>
              <w:top w:val="single" w:sz="4" w:space="0" w:color="000000"/>
              <w:left w:val="single" w:sz="4" w:space="0" w:color="000000"/>
              <w:bottom w:val="single" w:sz="4" w:space="0" w:color="000000"/>
              <w:right w:val="single" w:sz="4" w:space="0" w:color="000000"/>
            </w:tcBorders>
          </w:tcPr>
          <w:p w14:paraId="5577D516" w14:textId="67C8E888" w:rsidR="002114DA" w:rsidRPr="00C61699" w:rsidRDefault="002114DA" w:rsidP="004A5CEC">
            <w:pPr>
              <w:pStyle w:val="TableParagraph"/>
              <w:kinsoku w:val="0"/>
              <w:overflowPunct w:val="0"/>
              <w:spacing w:before="7" w:line="223" w:lineRule="auto"/>
              <w:ind w:leftChars="10" w:left="22"/>
              <w:rPr>
                <w:rFonts w:ascii="Times New Roman" w:cs="Times New Roman"/>
                <w:color w:val="000000" w:themeColor="text1"/>
                <w:spacing w:val="-3"/>
                <w:sz w:val="28"/>
                <w:szCs w:val="28"/>
              </w:rPr>
            </w:pPr>
          </w:p>
        </w:tc>
      </w:tr>
      <w:tr w:rsidR="00C61699" w:rsidRPr="00C61699" w14:paraId="22BAEE60" w14:textId="77777777" w:rsidTr="00D62CC4">
        <w:trPr>
          <w:trHeight w:val="429"/>
        </w:trPr>
        <w:tc>
          <w:tcPr>
            <w:tcW w:w="5113" w:type="dxa"/>
            <w:tcBorders>
              <w:top w:val="single" w:sz="4" w:space="0" w:color="000000"/>
              <w:left w:val="single" w:sz="4" w:space="0" w:color="000000"/>
              <w:bottom w:val="single" w:sz="4" w:space="0" w:color="000000"/>
              <w:right w:val="single" w:sz="4" w:space="0" w:color="000000"/>
            </w:tcBorders>
          </w:tcPr>
          <w:p w14:paraId="079E41DE" w14:textId="69C3957E" w:rsidR="007B14C2" w:rsidRPr="00C61699" w:rsidRDefault="00495347" w:rsidP="002D0662">
            <w:pPr>
              <w:pStyle w:val="Default"/>
              <w:ind w:left="302" w:hangingChars="126" w:hanging="302"/>
              <w:rPr>
                <w:rFonts w:ascii="Times New Roman" w:hAnsi="Times New Roman" w:cs="Times New Roman"/>
                <w:color w:val="000000" w:themeColor="text1"/>
              </w:rPr>
            </w:pPr>
            <w:r w:rsidRPr="00C61699">
              <w:rPr>
                <w:rFonts w:ascii="Times New Roman" w:hAnsi="Times New Roman" w:cs="Times New Roman"/>
                <w:color w:val="000000" w:themeColor="text1"/>
              </w:rPr>
              <w:t>第三條</w:t>
            </w:r>
            <w:r w:rsidRPr="00C61699">
              <w:rPr>
                <w:rFonts w:ascii="Times New Roman" w:hAnsi="Times New Roman" w:cs="Times New Roman"/>
                <w:color w:val="000000" w:themeColor="text1"/>
              </w:rPr>
              <w:t xml:space="preserve"> </w:t>
            </w:r>
            <w:proofErr w:type="gramStart"/>
            <w:r w:rsidRPr="00C61699">
              <w:rPr>
                <w:rFonts w:ascii="Times New Roman" w:hAnsi="Times New Roman" w:cs="Times New Roman"/>
                <w:color w:val="000000" w:themeColor="text1"/>
              </w:rPr>
              <w:t>碳費徵收</w:t>
            </w:r>
            <w:proofErr w:type="gramEnd"/>
            <w:r w:rsidRPr="00C61699">
              <w:rPr>
                <w:rFonts w:ascii="Times New Roman" w:hAnsi="Times New Roman" w:cs="Times New Roman"/>
                <w:color w:val="000000" w:themeColor="text1"/>
              </w:rPr>
              <w:t>對象為具有本法第二十一條第一項公告應盤查登錄及查驗溫室氣體排放量之排放源，且其全廠（場）之直接排放及使用電力之間接排放，其溫室氣體年排放量合計值達二萬五千公噸二氧化碳當量以上之電力業及製造業（以下簡稱事業）。</w:t>
            </w:r>
          </w:p>
        </w:tc>
        <w:tc>
          <w:tcPr>
            <w:tcW w:w="5245" w:type="dxa"/>
            <w:tcBorders>
              <w:top w:val="single" w:sz="4" w:space="0" w:color="000000"/>
              <w:left w:val="single" w:sz="4" w:space="0" w:color="000000"/>
              <w:bottom w:val="single" w:sz="4" w:space="0" w:color="000000"/>
              <w:right w:val="single" w:sz="4" w:space="0" w:color="000000"/>
            </w:tcBorders>
          </w:tcPr>
          <w:p w14:paraId="01D4DB0F" w14:textId="77777777" w:rsidR="007B14C2" w:rsidRPr="00C61699" w:rsidRDefault="007B14C2" w:rsidP="00691A0A">
            <w:pPr>
              <w:pStyle w:val="TableParagraph"/>
              <w:kinsoku w:val="0"/>
              <w:overflowPunct w:val="0"/>
              <w:spacing w:line="323" w:lineRule="exact"/>
              <w:ind w:leftChars="10" w:left="2001" w:hanging="1979"/>
              <w:jc w:val="left"/>
              <w:rPr>
                <w:rFonts w:ascii="Times New Roman" w:cs="Times New Roman"/>
                <w:color w:val="000000" w:themeColor="text1"/>
                <w:spacing w:val="-1"/>
              </w:rPr>
            </w:pPr>
          </w:p>
        </w:tc>
        <w:tc>
          <w:tcPr>
            <w:tcW w:w="5103" w:type="dxa"/>
            <w:tcBorders>
              <w:top w:val="single" w:sz="4" w:space="0" w:color="000000"/>
              <w:left w:val="single" w:sz="4" w:space="0" w:color="000000"/>
              <w:bottom w:val="single" w:sz="4" w:space="0" w:color="000000"/>
              <w:right w:val="single" w:sz="4" w:space="0" w:color="000000"/>
            </w:tcBorders>
          </w:tcPr>
          <w:p w14:paraId="5DE48479" w14:textId="77777777" w:rsidR="007B14C2" w:rsidRPr="00C61699" w:rsidRDefault="007B14C2" w:rsidP="00691A0A">
            <w:pPr>
              <w:pStyle w:val="TableParagraph"/>
              <w:kinsoku w:val="0"/>
              <w:overflowPunct w:val="0"/>
              <w:spacing w:line="323" w:lineRule="exact"/>
              <w:ind w:leftChars="10" w:left="2001" w:hanging="1979"/>
              <w:jc w:val="left"/>
              <w:rPr>
                <w:rFonts w:ascii="Times New Roman" w:cs="Times New Roman"/>
                <w:color w:val="000000" w:themeColor="text1"/>
                <w:spacing w:val="-1"/>
                <w:sz w:val="28"/>
                <w:szCs w:val="28"/>
              </w:rPr>
            </w:pPr>
          </w:p>
        </w:tc>
      </w:tr>
      <w:tr w:rsidR="00C61699" w:rsidRPr="00C61699" w14:paraId="6FA5B97D" w14:textId="77777777" w:rsidTr="003D4824">
        <w:trPr>
          <w:trHeight w:val="2810"/>
        </w:trPr>
        <w:tc>
          <w:tcPr>
            <w:tcW w:w="5113" w:type="dxa"/>
            <w:vMerge w:val="restart"/>
            <w:tcBorders>
              <w:top w:val="single" w:sz="4" w:space="0" w:color="000000"/>
              <w:left w:val="single" w:sz="4" w:space="0" w:color="000000"/>
              <w:right w:val="single" w:sz="4" w:space="0" w:color="000000"/>
            </w:tcBorders>
          </w:tcPr>
          <w:p w14:paraId="004D3AFF" w14:textId="3DA72AA0" w:rsidR="0096242D" w:rsidRPr="00C61699" w:rsidRDefault="0096242D" w:rsidP="002D0662">
            <w:pPr>
              <w:pStyle w:val="Default"/>
              <w:ind w:left="302" w:hangingChars="126" w:hanging="302"/>
              <w:rPr>
                <w:rFonts w:ascii="Times New Roman" w:hAnsi="Times New Roman" w:cs="Times New Roman"/>
                <w:color w:val="000000" w:themeColor="text1"/>
              </w:rPr>
            </w:pPr>
            <w:r w:rsidRPr="00C61699">
              <w:rPr>
                <w:rFonts w:ascii="Times New Roman" w:hAnsi="Times New Roman" w:cs="Times New Roman"/>
                <w:color w:val="000000" w:themeColor="text1"/>
              </w:rPr>
              <w:t>第四條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事業於每年五月底前，應依其前一年度一月一日至十二月三十一日之溫室氣體排放量，按本法第二十八條第三項公告之收費費率自行計算應繳納之費額，並依中央主管機關規定之格式，填</w:t>
            </w:r>
            <w:proofErr w:type="gramStart"/>
            <w:r w:rsidRPr="00C61699">
              <w:rPr>
                <w:rFonts w:ascii="Times New Roman" w:hAnsi="Times New Roman" w:cs="Times New Roman"/>
                <w:color w:val="000000" w:themeColor="text1"/>
              </w:rPr>
              <w:t>具碳費</w:t>
            </w:r>
            <w:proofErr w:type="gramEnd"/>
            <w:r w:rsidRPr="00C61699">
              <w:rPr>
                <w:rFonts w:ascii="Times New Roman" w:hAnsi="Times New Roman" w:cs="Times New Roman"/>
                <w:color w:val="000000" w:themeColor="text1"/>
              </w:rPr>
              <w:t>申報書及繳款單，將前一年度</w:t>
            </w:r>
            <w:proofErr w:type="gramStart"/>
            <w:r w:rsidRPr="00C61699">
              <w:rPr>
                <w:rFonts w:ascii="Times New Roman" w:hAnsi="Times New Roman" w:cs="Times New Roman"/>
                <w:color w:val="000000" w:themeColor="text1"/>
              </w:rPr>
              <w:t>之碳費</w:t>
            </w:r>
            <w:proofErr w:type="gramEnd"/>
            <w:r w:rsidRPr="00C61699">
              <w:rPr>
                <w:rFonts w:ascii="Times New Roman" w:hAnsi="Times New Roman" w:cs="Times New Roman"/>
                <w:color w:val="000000" w:themeColor="text1"/>
              </w:rPr>
              <w:t>，自行繳納至中央主管機關指定金融機構代</w:t>
            </w:r>
            <w:proofErr w:type="gramStart"/>
            <w:r w:rsidRPr="00C61699">
              <w:rPr>
                <w:rFonts w:ascii="Times New Roman" w:hAnsi="Times New Roman" w:cs="Times New Roman"/>
                <w:color w:val="000000" w:themeColor="text1"/>
              </w:rPr>
              <w:t>收專戶後</w:t>
            </w:r>
            <w:proofErr w:type="gramEnd"/>
            <w:r w:rsidRPr="00C61699">
              <w:rPr>
                <w:rFonts w:ascii="Times New Roman" w:hAnsi="Times New Roman" w:cs="Times New Roman"/>
                <w:color w:val="000000" w:themeColor="text1"/>
              </w:rPr>
              <w:t>，以網路傳輸方式，向中央主管機關申報。但報經中央主管機關同意者，得以書面方式申報。</w:t>
            </w:r>
          </w:p>
          <w:p w14:paraId="039F3E65" w14:textId="041E3E12" w:rsidR="0096242D" w:rsidRPr="00C61699" w:rsidRDefault="0096242D" w:rsidP="00F62A4B">
            <w:pPr>
              <w:adjustRightInd/>
              <w:spacing w:before="7" w:line="278" w:lineRule="auto"/>
              <w:ind w:leftChars="131" w:left="288" w:right="98" w:firstLineChars="293" w:firstLine="703"/>
              <w:rPr>
                <w:rFonts w:ascii="Times New Roman" w:cs="Times New Roman"/>
                <w:color w:val="000000" w:themeColor="text1"/>
                <w:spacing w:val="6"/>
                <w:sz w:val="24"/>
                <w:szCs w:val="24"/>
              </w:rPr>
            </w:pPr>
            <w:proofErr w:type="gramStart"/>
            <w:r w:rsidRPr="00C61699">
              <w:rPr>
                <w:rFonts w:ascii="Times New Roman" w:cs="Times New Roman"/>
                <w:color w:val="000000" w:themeColor="text1"/>
                <w:sz w:val="24"/>
                <w:szCs w:val="24"/>
              </w:rPr>
              <w:lastRenderedPageBreak/>
              <w:t>前項碳費</w:t>
            </w:r>
            <w:proofErr w:type="gramEnd"/>
            <w:r w:rsidRPr="00C61699">
              <w:rPr>
                <w:rFonts w:ascii="Times New Roman" w:cs="Times New Roman"/>
                <w:color w:val="000000" w:themeColor="text1"/>
                <w:sz w:val="24"/>
                <w:szCs w:val="24"/>
              </w:rPr>
              <w:t>，於第一年未滿一年者，</w:t>
            </w:r>
            <w:proofErr w:type="gramStart"/>
            <w:r w:rsidRPr="00C61699">
              <w:rPr>
                <w:rFonts w:ascii="Times New Roman" w:cs="Times New Roman"/>
                <w:color w:val="000000" w:themeColor="text1"/>
                <w:sz w:val="24"/>
                <w:szCs w:val="24"/>
              </w:rPr>
              <w:t>以碳費費率</w:t>
            </w:r>
            <w:proofErr w:type="gramEnd"/>
            <w:r w:rsidRPr="00C61699">
              <w:rPr>
                <w:rFonts w:ascii="Times New Roman" w:cs="Times New Roman"/>
                <w:color w:val="000000" w:themeColor="text1"/>
                <w:sz w:val="24"/>
                <w:szCs w:val="24"/>
              </w:rPr>
              <w:t>公告生效日期當月起算，依月份比例計算應繳納之費額。</w:t>
            </w:r>
          </w:p>
        </w:tc>
        <w:tc>
          <w:tcPr>
            <w:tcW w:w="5245" w:type="dxa"/>
            <w:tcBorders>
              <w:top w:val="single" w:sz="4" w:space="0" w:color="000000"/>
              <w:left w:val="single" w:sz="4" w:space="0" w:color="000000"/>
              <w:bottom w:val="single" w:sz="4" w:space="0" w:color="000000"/>
              <w:right w:val="single" w:sz="4" w:space="0" w:color="000000"/>
            </w:tcBorders>
          </w:tcPr>
          <w:p w14:paraId="3DB6B257" w14:textId="527719EE" w:rsidR="0096242D" w:rsidRPr="00C61699" w:rsidRDefault="0096242D" w:rsidP="00F62A4B">
            <w:pPr>
              <w:pStyle w:val="TableParagraph"/>
              <w:kinsoku w:val="0"/>
              <w:overflowPunct w:val="0"/>
              <w:spacing w:line="323" w:lineRule="exact"/>
              <w:ind w:leftChars="40" w:left="88"/>
              <w:jc w:val="left"/>
              <w:rPr>
                <w:rFonts w:ascii="Times New Roman" w:cs="Times New Roman"/>
                <w:b/>
                <w:bCs/>
                <w:strike/>
                <w:color w:val="000000" w:themeColor="text1"/>
              </w:rPr>
            </w:pPr>
          </w:p>
        </w:tc>
        <w:tc>
          <w:tcPr>
            <w:tcW w:w="5103" w:type="dxa"/>
            <w:vMerge w:val="restart"/>
            <w:tcBorders>
              <w:top w:val="single" w:sz="4" w:space="0" w:color="000000"/>
              <w:left w:val="single" w:sz="4" w:space="0" w:color="000000"/>
              <w:right w:val="single" w:sz="4" w:space="0" w:color="000000"/>
            </w:tcBorders>
          </w:tcPr>
          <w:p w14:paraId="24E49145" w14:textId="218DA81D" w:rsidR="002114DA" w:rsidRPr="00C61699" w:rsidRDefault="002114DA" w:rsidP="00250C2B">
            <w:pPr>
              <w:pStyle w:val="TableParagraph"/>
              <w:kinsoku w:val="0"/>
              <w:overflowPunct w:val="0"/>
              <w:spacing w:before="7" w:line="223" w:lineRule="auto"/>
              <w:ind w:leftChars="10" w:left="321" w:hangingChars="108" w:hanging="299"/>
              <w:rPr>
                <w:rFonts w:hAnsi="標楷體"/>
                <w:color w:val="000000" w:themeColor="text1"/>
                <w:spacing w:val="-3"/>
                <w:sz w:val="28"/>
                <w:szCs w:val="28"/>
              </w:rPr>
            </w:pPr>
          </w:p>
        </w:tc>
      </w:tr>
      <w:tr w:rsidR="00C61699" w:rsidRPr="00C61699" w14:paraId="24F9EABA" w14:textId="77777777" w:rsidTr="003D4824">
        <w:trPr>
          <w:trHeight w:val="2810"/>
        </w:trPr>
        <w:tc>
          <w:tcPr>
            <w:tcW w:w="5113" w:type="dxa"/>
            <w:vMerge/>
            <w:tcBorders>
              <w:left w:val="single" w:sz="4" w:space="0" w:color="000000"/>
              <w:bottom w:val="single" w:sz="4" w:space="0" w:color="000000"/>
              <w:right w:val="single" w:sz="4" w:space="0" w:color="000000"/>
            </w:tcBorders>
          </w:tcPr>
          <w:p w14:paraId="5E89653B" w14:textId="77777777" w:rsidR="0096242D" w:rsidRPr="00C61699" w:rsidRDefault="0096242D" w:rsidP="002D0662">
            <w:pPr>
              <w:pStyle w:val="Default"/>
              <w:ind w:left="302" w:hangingChars="126" w:hanging="302"/>
              <w:rPr>
                <w:rFonts w:ascii="Times New Roman" w:hAnsi="Times New Roman" w:cs="Times New Roman"/>
                <w:color w:val="000000" w:themeColor="text1"/>
              </w:rPr>
            </w:pPr>
          </w:p>
        </w:tc>
        <w:tc>
          <w:tcPr>
            <w:tcW w:w="5245" w:type="dxa"/>
            <w:tcBorders>
              <w:top w:val="single" w:sz="4" w:space="0" w:color="000000"/>
              <w:left w:val="single" w:sz="4" w:space="0" w:color="000000"/>
              <w:bottom w:val="single" w:sz="4" w:space="0" w:color="000000"/>
              <w:right w:val="single" w:sz="4" w:space="0" w:color="000000"/>
            </w:tcBorders>
          </w:tcPr>
          <w:p w14:paraId="57FD7E72" w14:textId="3E2A9E8C" w:rsidR="0096242D" w:rsidRPr="00C61699" w:rsidRDefault="0096242D" w:rsidP="002B2D1A">
            <w:pPr>
              <w:pStyle w:val="TableParagraph"/>
              <w:kinsoku w:val="0"/>
              <w:overflowPunct w:val="0"/>
              <w:spacing w:line="323" w:lineRule="exact"/>
              <w:ind w:leftChars="59" w:left="130" w:firstLineChars="295" w:firstLine="708"/>
              <w:jc w:val="left"/>
              <w:rPr>
                <w:rFonts w:ascii="Times New Roman" w:cs="Times New Roman"/>
                <w:color w:val="000000" w:themeColor="text1"/>
              </w:rPr>
            </w:pPr>
          </w:p>
        </w:tc>
        <w:tc>
          <w:tcPr>
            <w:tcW w:w="5103" w:type="dxa"/>
            <w:vMerge/>
            <w:tcBorders>
              <w:left w:val="single" w:sz="4" w:space="0" w:color="000000"/>
              <w:bottom w:val="single" w:sz="4" w:space="0" w:color="000000"/>
              <w:right w:val="single" w:sz="4" w:space="0" w:color="000000"/>
            </w:tcBorders>
          </w:tcPr>
          <w:p w14:paraId="32E8B87A" w14:textId="162A6F4B" w:rsidR="0096242D" w:rsidRPr="00C61699" w:rsidRDefault="0096242D" w:rsidP="002B2D1A">
            <w:pPr>
              <w:pStyle w:val="TableParagraph"/>
              <w:kinsoku w:val="0"/>
              <w:overflowPunct w:val="0"/>
              <w:spacing w:line="323" w:lineRule="exact"/>
              <w:ind w:leftChars="57" w:left="127" w:hanging="2"/>
              <w:jc w:val="left"/>
              <w:rPr>
                <w:rFonts w:ascii="Times New Roman" w:cs="Times New Roman"/>
                <w:color w:val="000000" w:themeColor="text1"/>
                <w:spacing w:val="-1"/>
                <w:sz w:val="28"/>
                <w:szCs w:val="28"/>
              </w:rPr>
            </w:pPr>
          </w:p>
        </w:tc>
      </w:tr>
      <w:tr w:rsidR="00C61699" w:rsidRPr="00C61699" w14:paraId="39B24A2C" w14:textId="77777777" w:rsidTr="00741CFD">
        <w:trPr>
          <w:trHeight w:val="854"/>
        </w:trPr>
        <w:tc>
          <w:tcPr>
            <w:tcW w:w="5113" w:type="dxa"/>
            <w:vMerge w:val="restart"/>
            <w:tcBorders>
              <w:top w:val="single" w:sz="4" w:space="0" w:color="000000"/>
              <w:left w:val="single" w:sz="4" w:space="0" w:color="000000"/>
              <w:right w:val="single" w:sz="4" w:space="0" w:color="000000"/>
            </w:tcBorders>
          </w:tcPr>
          <w:p w14:paraId="7E308FC5" w14:textId="7784875F" w:rsidR="00624973" w:rsidRPr="00C61699" w:rsidRDefault="00624973" w:rsidP="002D0662">
            <w:pPr>
              <w:pStyle w:val="Default"/>
              <w:ind w:left="302" w:hangingChars="126" w:hanging="302"/>
              <w:jc w:val="both"/>
              <w:rPr>
                <w:rFonts w:ascii="Times New Roman" w:hAnsi="Times New Roman" w:cs="Times New Roman"/>
                <w:color w:val="000000" w:themeColor="text1"/>
              </w:rPr>
            </w:pPr>
            <w:r w:rsidRPr="00C61699">
              <w:rPr>
                <w:rFonts w:ascii="Times New Roman" w:hAnsi="Times New Roman" w:cs="Times New Roman"/>
                <w:color w:val="000000" w:themeColor="text1"/>
              </w:rPr>
              <w:t>第五條</w:t>
            </w:r>
            <w:r w:rsidRPr="00C61699">
              <w:rPr>
                <w:rFonts w:ascii="Times New Roman" w:hAnsi="Times New Roman" w:cs="Times New Roman"/>
                <w:color w:val="000000" w:themeColor="text1"/>
              </w:rPr>
              <w:t xml:space="preserve"> </w:t>
            </w:r>
            <w:proofErr w:type="gramStart"/>
            <w:r w:rsidRPr="00C61699">
              <w:rPr>
                <w:rFonts w:ascii="Times New Roman" w:hAnsi="Times New Roman" w:cs="Times New Roman"/>
                <w:color w:val="000000" w:themeColor="text1"/>
              </w:rPr>
              <w:t>碳費之</w:t>
            </w:r>
            <w:proofErr w:type="gramEnd"/>
            <w:r w:rsidRPr="00C61699">
              <w:rPr>
                <w:rFonts w:ascii="Times New Roman" w:hAnsi="Times New Roman" w:cs="Times New Roman"/>
                <w:color w:val="000000" w:themeColor="text1"/>
              </w:rPr>
              <w:t>計算為收費</w:t>
            </w:r>
            <w:proofErr w:type="gramStart"/>
            <w:r w:rsidRPr="00C61699">
              <w:rPr>
                <w:rFonts w:ascii="Times New Roman" w:hAnsi="Times New Roman" w:cs="Times New Roman"/>
                <w:color w:val="000000" w:themeColor="text1"/>
              </w:rPr>
              <w:t>排放量乘以</w:t>
            </w:r>
            <w:proofErr w:type="gramEnd"/>
            <w:r w:rsidRPr="00C61699">
              <w:rPr>
                <w:rFonts w:ascii="Times New Roman" w:hAnsi="Times New Roman" w:cs="Times New Roman"/>
                <w:color w:val="000000" w:themeColor="text1"/>
              </w:rPr>
              <w:t>收費費率。</w:t>
            </w:r>
          </w:p>
          <w:p w14:paraId="280871BA" w14:textId="77777777" w:rsidR="00624973" w:rsidRPr="00C61699" w:rsidRDefault="00624973" w:rsidP="002D0662">
            <w:pPr>
              <w:pStyle w:val="Default"/>
              <w:ind w:leftChars="131" w:left="288" w:firstLineChars="308" w:firstLine="739"/>
              <w:jc w:val="both"/>
              <w:rPr>
                <w:rFonts w:ascii="Times New Roman" w:hAnsi="Times New Roman" w:cs="Times New Roman"/>
                <w:color w:val="000000" w:themeColor="text1"/>
              </w:rPr>
            </w:pPr>
            <w:r w:rsidRPr="00C61699">
              <w:rPr>
                <w:rFonts w:ascii="Times New Roman" w:hAnsi="Times New Roman" w:cs="Times New Roman"/>
                <w:color w:val="000000" w:themeColor="text1"/>
              </w:rPr>
              <w:t>前項收費排放量</w:t>
            </w:r>
            <w:r w:rsidRPr="00C61699">
              <w:rPr>
                <w:rFonts w:ascii="Times New Roman" w:hAnsi="Times New Roman" w:cs="Times New Roman"/>
                <w:color w:val="000000" w:themeColor="text1"/>
              </w:rPr>
              <w:t>=</w:t>
            </w:r>
            <w:r w:rsidRPr="00C61699">
              <w:rPr>
                <w:rFonts w:ascii="Times New Roman" w:hAnsi="Times New Roman" w:cs="Times New Roman"/>
                <w:color w:val="000000" w:themeColor="text1"/>
              </w:rPr>
              <w:t>（排放量－</w:t>
            </w:r>
            <w:r w:rsidRPr="00C61699">
              <w:rPr>
                <w:rFonts w:ascii="Times New Roman" w:hAnsi="Times New Roman" w:cs="Times New Roman"/>
                <w:color w:val="000000" w:themeColor="text1"/>
              </w:rPr>
              <w:t>K</w:t>
            </w:r>
            <w:r w:rsidRPr="00C61699">
              <w:rPr>
                <w:rFonts w:ascii="Times New Roman" w:hAnsi="Times New Roman" w:cs="Times New Roman"/>
                <w:color w:val="000000" w:themeColor="text1"/>
              </w:rPr>
              <w:t>值）</w:t>
            </w:r>
            <w:r w:rsidRPr="00C61699">
              <w:rPr>
                <w:rFonts w:ascii="Times New Roman" w:hAnsi="Times New Roman" w:cs="Times New Roman"/>
                <w:color w:val="000000" w:themeColor="text1"/>
              </w:rPr>
              <w:t>×</w:t>
            </w:r>
            <w:r w:rsidRPr="00C61699">
              <w:rPr>
                <w:rFonts w:ascii="Times New Roman" w:hAnsi="Times New Roman" w:cs="Times New Roman"/>
                <w:color w:val="000000" w:themeColor="text1"/>
              </w:rPr>
              <w:t>碳洩漏風險係數值。</w:t>
            </w:r>
          </w:p>
          <w:p w14:paraId="1275A074" w14:textId="77777777" w:rsidR="00624973" w:rsidRPr="00C61699" w:rsidRDefault="00624973" w:rsidP="002D0662">
            <w:pPr>
              <w:pStyle w:val="TableParagraph"/>
              <w:kinsoku w:val="0"/>
              <w:overflowPunct w:val="0"/>
              <w:spacing w:before="4" w:line="223" w:lineRule="auto"/>
              <w:ind w:left="291" w:right="96" w:firstLine="567"/>
              <w:rPr>
                <w:rFonts w:ascii="Times New Roman" w:cs="Times New Roman"/>
                <w:color w:val="000000" w:themeColor="text1"/>
              </w:rPr>
            </w:pPr>
            <w:r w:rsidRPr="00C61699">
              <w:rPr>
                <w:rFonts w:ascii="Times New Roman" w:cs="Times New Roman"/>
                <w:color w:val="000000" w:themeColor="text1"/>
              </w:rPr>
              <w:t>前項</w:t>
            </w:r>
            <w:r w:rsidRPr="00C61699">
              <w:rPr>
                <w:rFonts w:ascii="Times New Roman" w:cs="Times New Roman"/>
                <w:color w:val="000000" w:themeColor="text1"/>
              </w:rPr>
              <w:t>K</w:t>
            </w:r>
            <w:r w:rsidRPr="00C61699">
              <w:rPr>
                <w:rFonts w:ascii="Times New Roman" w:cs="Times New Roman"/>
                <w:color w:val="000000" w:themeColor="text1"/>
              </w:rPr>
              <w:t>值為二萬五千公噸二氧化碳當量；其屬高碳洩漏風險之事業，</w:t>
            </w:r>
            <w:r w:rsidRPr="00C61699">
              <w:rPr>
                <w:rFonts w:ascii="Times New Roman" w:cs="Times New Roman"/>
                <w:color w:val="000000" w:themeColor="text1"/>
              </w:rPr>
              <w:t>K</w:t>
            </w:r>
            <w:r w:rsidRPr="00C61699">
              <w:rPr>
                <w:rFonts w:ascii="Times New Roman" w:cs="Times New Roman"/>
                <w:color w:val="000000" w:themeColor="text1"/>
              </w:rPr>
              <w:t>值為零。</w:t>
            </w:r>
          </w:p>
          <w:p w14:paraId="3DF98EC8" w14:textId="2D7B7D52" w:rsidR="00624973" w:rsidRPr="00C61699" w:rsidRDefault="00624973" w:rsidP="002D0662">
            <w:pPr>
              <w:pStyle w:val="Default"/>
              <w:ind w:leftChars="132" w:left="290" w:firstLineChars="307" w:firstLine="737"/>
              <w:jc w:val="both"/>
              <w:rPr>
                <w:rFonts w:ascii="Times New Roman" w:hAnsi="Times New Roman" w:cs="Times New Roman"/>
                <w:color w:val="000000" w:themeColor="text1"/>
              </w:rPr>
            </w:pPr>
            <w:proofErr w:type="gramStart"/>
            <w:r w:rsidRPr="00C61699">
              <w:rPr>
                <w:rFonts w:ascii="Times New Roman" w:hAnsi="Times New Roman" w:cs="Times New Roman"/>
                <w:color w:val="000000" w:themeColor="text1"/>
              </w:rPr>
              <w:t>碳費應</w:t>
            </w:r>
            <w:proofErr w:type="gramEnd"/>
            <w:r w:rsidRPr="00C61699">
              <w:rPr>
                <w:rFonts w:ascii="Times New Roman" w:hAnsi="Times New Roman" w:cs="Times New Roman"/>
                <w:color w:val="000000" w:themeColor="text1"/>
              </w:rPr>
              <w:t>繳納費額之</w:t>
            </w:r>
            <w:proofErr w:type="gramStart"/>
            <w:r w:rsidRPr="00C61699">
              <w:rPr>
                <w:rFonts w:ascii="Times New Roman" w:hAnsi="Times New Roman" w:cs="Times New Roman"/>
                <w:color w:val="000000" w:themeColor="text1"/>
              </w:rPr>
              <w:t>計算取至整數</w:t>
            </w:r>
            <w:proofErr w:type="gramEnd"/>
            <w:r w:rsidRPr="00C61699">
              <w:rPr>
                <w:rFonts w:ascii="Times New Roman" w:hAnsi="Times New Roman" w:cs="Times New Roman"/>
                <w:color w:val="000000" w:themeColor="text1"/>
              </w:rPr>
              <w:t>，小數點後無條件捨去。</w:t>
            </w:r>
          </w:p>
        </w:tc>
        <w:tc>
          <w:tcPr>
            <w:tcW w:w="5245" w:type="dxa"/>
            <w:tcBorders>
              <w:top w:val="single" w:sz="4" w:space="0" w:color="000000"/>
              <w:left w:val="single" w:sz="4" w:space="0" w:color="000000"/>
              <w:bottom w:val="single" w:sz="4" w:space="0" w:color="000000"/>
              <w:right w:val="single" w:sz="4" w:space="0" w:color="000000"/>
            </w:tcBorders>
          </w:tcPr>
          <w:p w14:paraId="2AC0C2EB" w14:textId="04112798" w:rsidR="00624973" w:rsidRPr="00C61699" w:rsidRDefault="00624973" w:rsidP="0034074A">
            <w:pPr>
              <w:pStyle w:val="TableParagraph"/>
              <w:kinsoku w:val="0"/>
              <w:overflowPunct w:val="0"/>
              <w:spacing w:before="4" w:line="223" w:lineRule="auto"/>
              <w:ind w:left="291" w:right="96" w:firstLine="567"/>
              <w:rPr>
                <w:rFonts w:ascii="Times New Roman" w:cs="Times New Roman"/>
                <w:b/>
                <w:bCs/>
                <w:strike/>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40027794" w14:textId="5F28D8D8" w:rsidR="00624973" w:rsidRPr="00C61699" w:rsidRDefault="00624973" w:rsidP="009A29F8">
            <w:pPr>
              <w:snapToGrid w:val="0"/>
              <w:spacing w:before="35" w:line="276" w:lineRule="auto"/>
              <w:ind w:right="85"/>
              <w:jc w:val="both"/>
              <w:rPr>
                <w:rFonts w:hAnsi="標楷體"/>
                <w:color w:val="000000" w:themeColor="text1"/>
                <w:spacing w:val="-1"/>
                <w:sz w:val="28"/>
                <w:szCs w:val="28"/>
                <w:highlight w:val="green"/>
              </w:rPr>
            </w:pPr>
          </w:p>
        </w:tc>
      </w:tr>
      <w:tr w:rsidR="00C61699" w:rsidRPr="00C61699" w14:paraId="75125FFB" w14:textId="77777777" w:rsidTr="00741CFD">
        <w:trPr>
          <w:trHeight w:val="854"/>
        </w:trPr>
        <w:tc>
          <w:tcPr>
            <w:tcW w:w="5113" w:type="dxa"/>
            <w:vMerge/>
            <w:tcBorders>
              <w:left w:val="single" w:sz="4" w:space="0" w:color="000000"/>
              <w:bottom w:val="single" w:sz="4" w:space="0" w:color="000000"/>
              <w:right w:val="single" w:sz="4" w:space="0" w:color="000000"/>
            </w:tcBorders>
          </w:tcPr>
          <w:p w14:paraId="08BCA2C1" w14:textId="77777777" w:rsidR="00624973" w:rsidRPr="00C61699" w:rsidRDefault="00624973" w:rsidP="002D0662">
            <w:pPr>
              <w:pStyle w:val="Default"/>
              <w:ind w:left="302" w:hangingChars="126" w:hanging="302"/>
              <w:jc w:val="both"/>
              <w:rPr>
                <w:rFonts w:ascii="Times New Roman" w:hAnsi="Times New Roman" w:cs="Times New Roman"/>
                <w:color w:val="000000" w:themeColor="text1"/>
              </w:rPr>
            </w:pPr>
          </w:p>
        </w:tc>
        <w:tc>
          <w:tcPr>
            <w:tcW w:w="5245" w:type="dxa"/>
            <w:tcBorders>
              <w:top w:val="single" w:sz="4" w:space="0" w:color="000000"/>
              <w:left w:val="single" w:sz="4" w:space="0" w:color="000000"/>
              <w:bottom w:val="single" w:sz="4" w:space="0" w:color="000000"/>
              <w:right w:val="single" w:sz="4" w:space="0" w:color="000000"/>
            </w:tcBorders>
          </w:tcPr>
          <w:p w14:paraId="47BC82CE" w14:textId="321B504D" w:rsidR="00624973" w:rsidRPr="00C61699" w:rsidRDefault="00624973" w:rsidP="008B57E1">
            <w:pPr>
              <w:ind w:leftChars="46" w:left="101" w:firstLineChars="307" w:firstLine="737"/>
              <w:jc w:val="both"/>
              <w:rPr>
                <w:rFonts w:ascii="Times New Roman" w:cs="Times New Roman"/>
                <w:color w:val="000000" w:themeColor="text1"/>
                <w:sz w:val="24"/>
                <w:szCs w:val="24"/>
                <w:highlight w:val="yellow"/>
              </w:rPr>
            </w:pPr>
          </w:p>
        </w:tc>
        <w:tc>
          <w:tcPr>
            <w:tcW w:w="5103" w:type="dxa"/>
            <w:tcBorders>
              <w:top w:val="single" w:sz="4" w:space="0" w:color="000000"/>
              <w:left w:val="single" w:sz="4" w:space="0" w:color="000000"/>
              <w:bottom w:val="single" w:sz="4" w:space="0" w:color="000000"/>
              <w:right w:val="single" w:sz="4" w:space="0" w:color="000000"/>
            </w:tcBorders>
          </w:tcPr>
          <w:p w14:paraId="25F2F79F" w14:textId="2128B7AE" w:rsidR="00624973" w:rsidRPr="00C61699" w:rsidRDefault="00624973" w:rsidP="00C12DEF">
            <w:pPr>
              <w:pStyle w:val="TableParagraph"/>
              <w:tabs>
                <w:tab w:val="left" w:pos="1352"/>
              </w:tabs>
              <w:kinsoku w:val="0"/>
              <w:overflowPunct w:val="0"/>
              <w:spacing w:line="323" w:lineRule="exact"/>
              <w:ind w:leftChars="10" w:left="22"/>
              <w:rPr>
                <w:rFonts w:ascii="Times New Roman" w:cs="Times New Roman"/>
                <w:color w:val="000000" w:themeColor="text1"/>
                <w:spacing w:val="-1"/>
                <w:sz w:val="28"/>
                <w:szCs w:val="28"/>
              </w:rPr>
            </w:pPr>
          </w:p>
        </w:tc>
      </w:tr>
      <w:tr w:rsidR="00C61699" w:rsidRPr="00C61699" w14:paraId="6102B7EC" w14:textId="77777777" w:rsidTr="00A70127">
        <w:trPr>
          <w:trHeight w:val="3548"/>
        </w:trPr>
        <w:tc>
          <w:tcPr>
            <w:tcW w:w="5113" w:type="dxa"/>
            <w:vMerge w:val="restart"/>
            <w:tcBorders>
              <w:top w:val="single" w:sz="4" w:space="0" w:color="000000"/>
              <w:left w:val="single" w:sz="4" w:space="0" w:color="000000"/>
              <w:right w:val="single" w:sz="4" w:space="0" w:color="000000"/>
            </w:tcBorders>
          </w:tcPr>
          <w:p w14:paraId="11550524" w14:textId="511B10B8" w:rsidR="00726441" w:rsidRPr="00C61699" w:rsidRDefault="00726441" w:rsidP="003D14B9">
            <w:pPr>
              <w:adjustRightInd/>
              <w:spacing w:before="35" w:line="276" w:lineRule="auto"/>
              <w:ind w:left="347" w:right="86" w:hanging="240"/>
              <w:jc w:val="both"/>
              <w:rPr>
                <w:rFonts w:ascii="Times New Roman" w:cs="Times New Roman"/>
                <w:color w:val="000000" w:themeColor="text1"/>
                <w:sz w:val="24"/>
                <w:szCs w:val="24"/>
              </w:rPr>
            </w:pPr>
            <w:r w:rsidRPr="00C61699">
              <w:rPr>
                <w:rFonts w:ascii="Times New Roman" w:cs="Times New Roman"/>
                <w:color w:val="000000" w:themeColor="text1"/>
                <w:sz w:val="24"/>
                <w:szCs w:val="24"/>
              </w:rPr>
              <w:t>第六條</w:t>
            </w:r>
            <w:r w:rsidRPr="00C61699">
              <w:rPr>
                <w:rFonts w:ascii="Times New Roman" w:cs="Times New Roman"/>
                <w:color w:val="000000" w:themeColor="text1"/>
                <w:sz w:val="24"/>
                <w:szCs w:val="24"/>
              </w:rPr>
              <w:t xml:space="preserve"> </w:t>
            </w:r>
            <w:r w:rsidRPr="00C61699">
              <w:rPr>
                <w:rFonts w:ascii="Times New Roman" w:cs="Times New Roman"/>
                <w:color w:val="000000" w:themeColor="text1"/>
                <w:sz w:val="24"/>
                <w:szCs w:val="24"/>
              </w:rPr>
              <w:t>事業經審查認定屬高碳洩漏風險者</w:t>
            </w:r>
            <w:r w:rsidRPr="00C61699">
              <w:rPr>
                <w:rFonts w:ascii="Times New Roman" w:cs="Times New Roman"/>
                <w:color w:val="000000" w:themeColor="text1"/>
                <w:sz w:val="24"/>
                <w:szCs w:val="24"/>
              </w:rPr>
              <w:t xml:space="preserve"> </w:t>
            </w:r>
            <w:r w:rsidRPr="00C61699">
              <w:rPr>
                <w:rFonts w:ascii="Times New Roman" w:cs="Times New Roman"/>
                <w:color w:val="000000" w:themeColor="text1"/>
                <w:sz w:val="24"/>
                <w:szCs w:val="24"/>
              </w:rPr>
              <w:t>，其</w:t>
            </w:r>
            <w:proofErr w:type="gramStart"/>
            <w:r w:rsidRPr="00C61699">
              <w:rPr>
                <w:rFonts w:ascii="Times New Roman" w:cs="Times New Roman"/>
                <w:color w:val="000000" w:themeColor="text1"/>
                <w:sz w:val="24"/>
                <w:szCs w:val="24"/>
              </w:rPr>
              <w:t>適用之碳洩漏</w:t>
            </w:r>
            <w:proofErr w:type="gramEnd"/>
            <w:r w:rsidRPr="00C61699">
              <w:rPr>
                <w:rFonts w:ascii="Times New Roman" w:cs="Times New Roman"/>
                <w:color w:val="000000" w:themeColor="text1"/>
                <w:sz w:val="24"/>
                <w:szCs w:val="24"/>
              </w:rPr>
              <w:t>風險係數值規定如下：</w:t>
            </w:r>
          </w:p>
          <w:p w14:paraId="2BF88B8D" w14:textId="165D3F75" w:rsidR="00726441" w:rsidRPr="00C61699" w:rsidRDefault="00726441" w:rsidP="00230790">
            <w:pPr>
              <w:adjustRightInd/>
              <w:spacing w:before="35" w:line="276" w:lineRule="auto"/>
              <w:ind w:left="1141" w:right="86" w:hanging="567"/>
              <w:jc w:val="both"/>
              <w:rPr>
                <w:rFonts w:ascii="Times New Roman" w:cs="Times New Roman"/>
                <w:color w:val="000000" w:themeColor="text1"/>
                <w:sz w:val="24"/>
                <w:szCs w:val="24"/>
              </w:rPr>
            </w:pPr>
            <w:r w:rsidRPr="00C61699">
              <w:rPr>
                <w:rFonts w:ascii="Times New Roman" w:cs="Times New Roman"/>
                <w:color w:val="000000" w:themeColor="text1"/>
                <w:sz w:val="24"/>
                <w:szCs w:val="24"/>
              </w:rPr>
              <w:t>一、</w:t>
            </w:r>
            <w:proofErr w:type="gramStart"/>
            <w:r w:rsidR="004A5CEC" w:rsidRPr="00C61699">
              <w:rPr>
                <w:rFonts w:ascii="Times New Roman" w:cs="Times New Roman" w:hint="eastAsia"/>
                <w:color w:val="000000" w:themeColor="text1"/>
                <w:sz w:val="24"/>
                <w:szCs w:val="24"/>
              </w:rPr>
              <w:t>第一期</w:t>
            </w:r>
            <w:r w:rsidRPr="00C61699">
              <w:rPr>
                <w:rFonts w:ascii="Times New Roman" w:cs="Times New Roman"/>
                <w:color w:val="000000" w:themeColor="text1"/>
                <w:sz w:val="24"/>
                <w:szCs w:val="24"/>
              </w:rPr>
              <w:t>碳洩漏</w:t>
            </w:r>
            <w:proofErr w:type="gramEnd"/>
            <w:r w:rsidRPr="00C61699">
              <w:rPr>
                <w:rFonts w:ascii="Times New Roman" w:cs="Times New Roman"/>
                <w:color w:val="000000" w:themeColor="text1"/>
                <w:sz w:val="24"/>
                <w:szCs w:val="24"/>
              </w:rPr>
              <w:t>風險係數值為零點二。</w:t>
            </w:r>
          </w:p>
          <w:p w14:paraId="78E7C762" w14:textId="12583277" w:rsidR="00726441" w:rsidRPr="00C61699" w:rsidRDefault="00726441" w:rsidP="003D14B9">
            <w:pPr>
              <w:adjustRightInd/>
              <w:spacing w:before="35" w:line="276" w:lineRule="auto"/>
              <w:ind w:left="1141" w:right="86" w:hanging="567"/>
              <w:jc w:val="both"/>
              <w:rPr>
                <w:rFonts w:ascii="Times New Roman" w:cs="Times New Roman"/>
                <w:color w:val="000000" w:themeColor="text1"/>
                <w:sz w:val="24"/>
                <w:szCs w:val="24"/>
              </w:rPr>
            </w:pPr>
            <w:r w:rsidRPr="00C61699">
              <w:rPr>
                <w:rFonts w:ascii="Times New Roman" w:cs="Times New Roman"/>
                <w:color w:val="000000" w:themeColor="text1"/>
                <w:sz w:val="24"/>
                <w:szCs w:val="24"/>
              </w:rPr>
              <w:t>二、</w:t>
            </w:r>
            <w:proofErr w:type="gramStart"/>
            <w:r w:rsidR="004A5CEC" w:rsidRPr="00C61699">
              <w:rPr>
                <w:rFonts w:ascii="Times New Roman" w:cs="Times New Roman" w:hint="eastAsia"/>
                <w:color w:val="000000" w:themeColor="text1"/>
                <w:sz w:val="24"/>
                <w:szCs w:val="24"/>
              </w:rPr>
              <w:t>第二期</w:t>
            </w:r>
            <w:r w:rsidRPr="00C61699">
              <w:rPr>
                <w:rFonts w:ascii="Times New Roman" w:cs="Times New Roman"/>
                <w:color w:val="000000" w:themeColor="text1"/>
                <w:sz w:val="24"/>
                <w:szCs w:val="24"/>
              </w:rPr>
              <w:t>碳洩漏</w:t>
            </w:r>
            <w:proofErr w:type="gramEnd"/>
            <w:r w:rsidRPr="00C61699">
              <w:rPr>
                <w:rFonts w:ascii="Times New Roman" w:cs="Times New Roman"/>
                <w:color w:val="000000" w:themeColor="text1"/>
                <w:sz w:val="24"/>
                <w:szCs w:val="24"/>
              </w:rPr>
              <w:t>風險係數值為零點四。</w:t>
            </w:r>
          </w:p>
          <w:p w14:paraId="15E6997A" w14:textId="5C94B33B" w:rsidR="00726441" w:rsidRPr="00C61699" w:rsidRDefault="00726441" w:rsidP="003D14B9">
            <w:pPr>
              <w:adjustRightInd/>
              <w:spacing w:before="35" w:line="276" w:lineRule="auto"/>
              <w:ind w:left="1141" w:right="86" w:hanging="523"/>
              <w:jc w:val="both"/>
              <w:rPr>
                <w:rFonts w:ascii="Times New Roman" w:cs="Times New Roman"/>
                <w:color w:val="000000" w:themeColor="text1"/>
                <w:sz w:val="24"/>
                <w:szCs w:val="24"/>
              </w:rPr>
            </w:pPr>
            <w:r w:rsidRPr="00C61699">
              <w:rPr>
                <w:rFonts w:ascii="Times New Roman" w:cs="Times New Roman"/>
                <w:color w:val="000000" w:themeColor="text1"/>
                <w:sz w:val="24"/>
                <w:szCs w:val="24"/>
              </w:rPr>
              <w:t>三、</w:t>
            </w:r>
            <w:proofErr w:type="gramStart"/>
            <w:r w:rsidR="00A70127" w:rsidRPr="00C61699">
              <w:rPr>
                <w:rFonts w:ascii="Times New Roman" w:cs="Times New Roman" w:hint="eastAsia"/>
                <w:color w:val="000000" w:themeColor="text1"/>
                <w:sz w:val="24"/>
                <w:szCs w:val="24"/>
              </w:rPr>
              <w:t>第三期</w:t>
            </w:r>
            <w:r w:rsidRPr="00C61699">
              <w:rPr>
                <w:rFonts w:ascii="Times New Roman" w:cs="Times New Roman"/>
                <w:color w:val="000000" w:themeColor="text1"/>
                <w:sz w:val="24"/>
                <w:szCs w:val="24"/>
              </w:rPr>
              <w:t>碳洩漏</w:t>
            </w:r>
            <w:proofErr w:type="gramEnd"/>
            <w:r w:rsidRPr="00C61699">
              <w:rPr>
                <w:rFonts w:ascii="Times New Roman" w:cs="Times New Roman"/>
                <w:color w:val="000000" w:themeColor="text1"/>
                <w:sz w:val="24"/>
                <w:szCs w:val="24"/>
              </w:rPr>
              <w:t>風險係數</w:t>
            </w:r>
            <w:r w:rsidRPr="00C61699">
              <w:rPr>
                <w:rFonts w:ascii="Times New Roman" w:cs="Times New Roman"/>
                <w:color w:val="000000" w:themeColor="text1"/>
                <w:sz w:val="24"/>
                <w:szCs w:val="24"/>
              </w:rPr>
              <w:t xml:space="preserve"> </w:t>
            </w:r>
            <w:r w:rsidRPr="00C61699">
              <w:rPr>
                <w:rFonts w:ascii="Times New Roman" w:cs="Times New Roman"/>
                <w:color w:val="000000" w:themeColor="text1"/>
                <w:sz w:val="24"/>
                <w:szCs w:val="24"/>
              </w:rPr>
              <w:t>值為零點六。</w:t>
            </w:r>
          </w:p>
          <w:p w14:paraId="3F59FB04" w14:textId="4FACBA85" w:rsidR="00726441" w:rsidRPr="00C61699" w:rsidRDefault="00726441" w:rsidP="003D14B9">
            <w:pPr>
              <w:adjustRightInd/>
              <w:spacing w:before="35" w:line="276" w:lineRule="auto"/>
              <w:ind w:left="347" w:right="86" w:firstLine="369"/>
              <w:jc w:val="both"/>
              <w:rPr>
                <w:rFonts w:ascii="Times New Roman" w:cs="Times New Roman"/>
                <w:color w:val="000000" w:themeColor="text1"/>
                <w:sz w:val="24"/>
                <w:szCs w:val="24"/>
              </w:rPr>
            </w:pPr>
            <w:r w:rsidRPr="00C61699">
              <w:rPr>
                <w:rFonts w:ascii="Times New Roman" w:cs="Times New Roman"/>
                <w:color w:val="000000" w:themeColor="text1"/>
                <w:sz w:val="24"/>
                <w:szCs w:val="24"/>
              </w:rPr>
              <w:t>事業非屬前項認定之高碳洩漏風險者，其</w:t>
            </w:r>
            <w:proofErr w:type="gramStart"/>
            <w:r w:rsidRPr="00C61699">
              <w:rPr>
                <w:rFonts w:ascii="Times New Roman" w:cs="Times New Roman"/>
                <w:color w:val="000000" w:themeColor="text1"/>
                <w:sz w:val="24"/>
                <w:szCs w:val="24"/>
              </w:rPr>
              <w:t>適用之碳洩漏</w:t>
            </w:r>
            <w:proofErr w:type="gramEnd"/>
            <w:r w:rsidRPr="00C61699">
              <w:rPr>
                <w:rFonts w:ascii="Times New Roman" w:cs="Times New Roman"/>
                <w:color w:val="000000" w:themeColor="text1"/>
                <w:sz w:val="24"/>
                <w:szCs w:val="24"/>
              </w:rPr>
              <w:t>風險係數值為一。</w:t>
            </w:r>
          </w:p>
          <w:p w14:paraId="7E795787" w14:textId="6126EB0C" w:rsidR="00726441" w:rsidRPr="00C61699" w:rsidRDefault="00A70127" w:rsidP="003D14B9">
            <w:pPr>
              <w:adjustRightInd/>
              <w:spacing w:before="35" w:line="276" w:lineRule="auto"/>
              <w:ind w:left="347" w:right="86" w:firstLine="369"/>
              <w:jc w:val="both"/>
              <w:rPr>
                <w:rFonts w:ascii="Times New Roman" w:cs="Times New Roman"/>
                <w:color w:val="000000" w:themeColor="text1"/>
                <w:sz w:val="24"/>
                <w:szCs w:val="24"/>
              </w:rPr>
            </w:pPr>
            <w:r w:rsidRPr="00C61699">
              <w:rPr>
                <w:rFonts w:ascii="Times New Roman" w:cs="Times New Roman" w:hint="eastAsia"/>
                <w:color w:val="000000" w:themeColor="text1"/>
                <w:sz w:val="24"/>
                <w:szCs w:val="24"/>
              </w:rPr>
              <w:t>申請</w:t>
            </w:r>
            <w:r w:rsidR="00726441" w:rsidRPr="00C61699">
              <w:rPr>
                <w:rFonts w:ascii="Times New Roman" w:cs="Times New Roman"/>
                <w:color w:val="000000" w:themeColor="text1"/>
                <w:sz w:val="24"/>
                <w:szCs w:val="24"/>
              </w:rPr>
              <w:t>適用</w:t>
            </w:r>
            <w:proofErr w:type="gramStart"/>
            <w:r w:rsidRPr="00C61699">
              <w:rPr>
                <w:rFonts w:ascii="Times New Roman" w:cs="Times New Roman" w:hint="eastAsia"/>
                <w:color w:val="000000" w:themeColor="text1"/>
                <w:sz w:val="24"/>
                <w:szCs w:val="24"/>
              </w:rPr>
              <w:t>第一項</w:t>
            </w:r>
            <w:r w:rsidR="00726441" w:rsidRPr="00C61699">
              <w:rPr>
                <w:rFonts w:ascii="Times New Roman" w:cs="Times New Roman"/>
                <w:color w:val="000000" w:themeColor="text1"/>
                <w:sz w:val="24"/>
                <w:szCs w:val="24"/>
              </w:rPr>
              <w:t>碳洩漏</w:t>
            </w:r>
            <w:proofErr w:type="gramEnd"/>
            <w:r w:rsidR="00726441" w:rsidRPr="00C61699">
              <w:rPr>
                <w:rFonts w:ascii="Times New Roman" w:cs="Times New Roman"/>
                <w:color w:val="000000" w:themeColor="text1"/>
                <w:sz w:val="24"/>
                <w:szCs w:val="24"/>
              </w:rPr>
              <w:t>風險係數之事業</w:t>
            </w:r>
            <w:r w:rsidRPr="00C61699">
              <w:rPr>
                <w:rFonts w:ascii="Times New Roman" w:cs="Times New Roman" w:hint="eastAsia"/>
                <w:color w:val="000000" w:themeColor="text1"/>
                <w:sz w:val="24"/>
                <w:szCs w:val="24"/>
              </w:rPr>
              <w:t>，</w:t>
            </w:r>
            <w:r w:rsidR="00726441" w:rsidRPr="00C61699">
              <w:rPr>
                <w:rFonts w:ascii="Times New Roman" w:cs="Times New Roman"/>
                <w:color w:val="000000" w:themeColor="text1"/>
                <w:sz w:val="24"/>
                <w:szCs w:val="24"/>
              </w:rPr>
              <w:t>應取得中央主管機關核定之自主減量計</w:t>
            </w:r>
            <w:r w:rsidR="00726441" w:rsidRPr="00C61699">
              <w:rPr>
                <w:rFonts w:ascii="Times New Roman" w:cs="Times New Roman"/>
                <w:color w:val="000000" w:themeColor="text1"/>
                <w:sz w:val="24"/>
                <w:szCs w:val="24"/>
              </w:rPr>
              <w:lastRenderedPageBreak/>
              <w:t>畫</w:t>
            </w:r>
            <w:r w:rsidRPr="00C61699">
              <w:rPr>
                <w:rFonts w:ascii="Times New Roman" w:cs="Times New Roman" w:hint="eastAsia"/>
                <w:color w:val="000000" w:themeColor="text1"/>
                <w:sz w:val="24"/>
                <w:szCs w:val="24"/>
              </w:rPr>
              <w:t>，</w:t>
            </w:r>
            <w:r w:rsidR="00726441" w:rsidRPr="00C61699">
              <w:rPr>
                <w:rFonts w:ascii="Times New Roman" w:cs="Times New Roman"/>
                <w:color w:val="000000" w:themeColor="text1"/>
                <w:sz w:val="24"/>
                <w:szCs w:val="24"/>
              </w:rPr>
              <w:t>於繳費當年度一月三十一日前，向中央主管機關提出，由中央主管機關依行業別排放密集</w:t>
            </w:r>
            <w:r w:rsidRPr="00C61699">
              <w:rPr>
                <w:rFonts w:ascii="Times New Roman" w:cs="Times New Roman" w:hint="eastAsia"/>
                <w:color w:val="000000" w:themeColor="text1"/>
                <w:sz w:val="24"/>
                <w:szCs w:val="24"/>
              </w:rPr>
              <w:t>度</w:t>
            </w:r>
            <w:r w:rsidR="00726441" w:rsidRPr="00C61699">
              <w:rPr>
                <w:rFonts w:ascii="Times New Roman" w:cs="Times New Roman"/>
                <w:color w:val="000000" w:themeColor="text1"/>
                <w:sz w:val="24"/>
                <w:szCs w:val="24"/>
              </w:rPr>
              <w:t>及貿易密集度等</w:t>
            </w:r>
            <w:r w:rsidRPr="00C61699">
              <w:rPr>
                <w:rFonts w:ascii="Times New Roman" w:cs="Times New Roman" w:hint="eastAsia"/>
                <w:color w:val="000000" w:themeColor="text1"/>
                <w:sz w:val="24"/>
                <w:szCs w:val="24"/>
              </w:rPr>
              <w:t>因素考量之</w:t>
            </w:r>
            <w:r w:rsidR="00726441" w:rsidRPr="00C61699">
              <w:rPr>
                <w:rFonts w:ascii="Times New Roman" w:cs="Times New Roman"/>
                <w:color w:val="000000" w:themeColor="text1"/>
                <w:sz w:val="24"/>
                <w:szCs w:val="24"/>
              </w:rPr>
              <w:t>審核原則審查認定。</w:t>
            </w:r>
          </w:p>
          <w:p w14:paraId="07D458EC" w14:textId="54CF28EA" w:rsidR="00726441" w:rsidRPr="00C61699" w:rsidRDefault="006F1535" w:rsidP="003D14B9">
            <w:pPr>
              <w:adjustRightInd/>
              <w:spacing w:before="35" w:line="276" w:lineRule="auto"/>
              <w:ind w:left="347" w:right="86" w:firstLine="369"/>
              <w:jc w:val="both"/>
              <w:rPr>
                <w:rFonts w:ascii="Times New Roman" w:cs="Times New Roman"/>
                <w:color w:val="000000" w:themeColor="text1"/>
                <w:sz w:val="24"/>
                <w:szCs w:val="24"/>
              </w:rPr>
            </w:pPr>
            <w:r w:rsidRPr="00C61699">
              <w:rPr>
                <w:rFonts w:ascii="Times New Roman" w:cs="Times New Roman" w:hint="eastAsia"/>
                <w:color w:val="000000" w:themeColor="text1"/>
                <w:sz w:val="24"/>
                <w:szCs w:val="24"/>
              </w:rPr>
              <w:t>為</w:t>
            </w:r>
            <w:r w:rsidR="00726441" w:rsidRPr="00C61699">
              <w:rPr>
                <w:rFonts w:ascii="Times New Roman" w:cs="Times New Roman"/>
                <w:color w:val="000000" w:themeColor="text1"/>
                <w:sz w:val="24"/>
                <w:szCs w:val="24"/>
              </w:rPr>
              <w:t>辦理前項審查，中央主管機關應邀集中央目的事業主管機關組成審查小組，</w:t>
            </w:r>
            <w:r w:rsidR="00A70127" w:rsidRPr="00C61699">
              <w:rPr>
                <w:rFonts w:ascii="Times New Roman" w:cs="Times New Roman" w:hint="eastAsia"/>
                <w:color w:val="000000" w:themeColor="text1"/>
                <w:sz w:val="24"/>
                <w:szCs w:val="24"/>
              </w:rPr>
              <w:t>依前項審核原則</w:t>
            </w:r>
            <w:r w:rsidR="00726441" w:rsidRPr="00C61699">
              <w:rPr>
                <w:rFonts w:ascii="Times New Roman" w:cs="Times New Roman"/>
                <w:color w:val="000000" w:themeColor="text1"/>
                <w:sz w:val="24"/>
                <w:szCs w:val="24"/>
              </w:rPr>
              <w:t>於三個月內</w:t>
            </w:r>
            <w:r w:rsidR="00A70127" w:rsidRPr="00C61699">
              <w:rPr>
                <w:rFonts w:ascii="Times New Roman" w:cs="Times New Roman" w:hint="eastAsia"/>
                <w:color w:val="000000" w:themeColor="text1"/>
                <w:sz w:val="24"/>
                <w:szCs w:val="24"/>
              </w:rPr>
              <w:t>完成</w:t>
            </w:r>
            <w:r w:rsidR="00726441" w:rsidRPr="00C61699">
              <w:rPr>
                <w:rFonts w:ascii="Times New Roman" w:cs="Times New Roman"/>
                <w:color w:val="000000" w:themeColor="text1"/>
                <w:sz w:val="24"/>
                <w:szCs w:val="24"/>
              </w:rPr>
              <w:t>審查作成准駁之決定。</w:t>
            </w:r>
          </w:p>
        </w:tc>
        <w:tc>
          <w:tcPr>
            <w:tcW w:w="5245" w:type="dxa"/>
            <w:tcBorders>
              <w:top w:val="single" w:sz="4" w:space="0" w:color="000000"/>
              <w:left w:val="single" w:sz="4" w:space="0" w:color="000000"/>
              <w:bottom w:val="single" w:sz="4" w:space="0" w:color="auto"/>
              <w:right w:val="single" w:sz="4" w:space="0" w:color="000000"/>
            </w:tcBorders>
          </w:tcPr>
          <w:p w14:paraId="318E451C" w14:textId="3EACB8BE" w:rsidR="00726441" w:rsidRPr="00C61699" w:rsidRDefault="00726441" w:rsidP="0051027E">
            <w:pPr>
              <w:spacing w:before="35" w:line="276" w:lineRule="auto"/>
              <w:ind w:left="347" w:right="86" w:firstLine="641"/>
              <w:jc w:val="both"/>
              <w:rPr>
                <w:rFonts w:ascii="Times New Roman" w:cs="Times New Roman"/>
                <w:color w:val="000000" w:themeColor="text1"/>
                <w:spacing w:val="-2"/>
                <w:sz w:val="24"/>
                <w:szCs w:val="24"/>
              </w:rPr>
            </w:pPr>
          </w:p>
        </w:tc>
        <w:tc>
          <w:tcPr>
            <w:tcW w:w="5103" w:type="dxa"/>
            <w:tcBorders>
              <w:top w:val="single" w:sz="4" w:space="0" w:color="000000"/>
              <w:left w:val="single" w:sz="4" w:space="0" w:color="000000"/>
              <w:bottom w:val="single" w:sz="4" w:space="0" w:color="auto"/>
              <w:right w:val="single" w:sz="4" w:space="0" w:color="000000"/>
            </w:tcBorders>
          </w:tcPr>
          <w:p w14:paraId="39FE0496" w14:textId="5CE45564" w:rsidR="002114DA" w:rsidRPr="00C61699" w:rsidRDefault="002114DA" w:rsidP="00C12DEF">
            <w:pPr>
              <w:snapToGrid w:val="0"/>
              <w:spacing w:before="35" w:line="276" w:lineRule="auto"/>
              <w:ind w:left="279" w:right="85" w:hangingChars="100" w:hanging="279"/>
              <w:jc w:val="both"/>
              <w:rPr>
                <w:rFonts w:ascii="Times New Roman" w:cs="Times New Roman"/>
                <w:color w:val="000000" w:themeColor="text1"/>
                <w:spacing w:val="-1"/>
                <w:sz w:val="28"/>
                <w:szCs w:val="28"/>
              </w:rPr>
            </w:pPr>
          </w:p>
        </w:tc>
      </w:tr>
      <w:tr w:rsidR="00C61699" w:rsidRPr="00C61699" w14:paraId="3F546B47" w14:textId="77777777" w:rsidTr="00A70127">
        <w:trPr>
          <w:trHeight w:val="1846"/>
        </w:trPr>
        <w:tc>
          <w:tcPr>
            <w:tcW w:w="5113" w:type="dxa"/>
            <w:vMerge/>
            <w:tcBorders>
              <w:left w:val="single" w:sz="4" w:space="0" w:color="000000"/>
              <w:right w:val="single" w:sz="4" w:space="0" w:color="000000"/>
            </w:tcBorders>
          </w:tcPr>
          <w:p w14:paraId="3BE25A77" w14:textId="77777777" w:rsidR="00726441" w:rsidRPr="00C61699" w:rsidRDefault="00726441" w:rsidP="003D14B9">
            <w:pPr>
              <w:adjustRightInd/>
              <w:spacing w:before="35" w:line="276" w:lineRule="auto"/>
              <w:ind w:left="347" w:right="86" w:hanging="240"/>
              <w:jc w:val="both"/>
              <w:rPr>
                <w:rFonts w:ascii="Times New Roman" w:cs="Times New Roman"/>
                <w:color w:val="000000" w:themeColor="text1"/>
                <w:sz w:val="24"/>
                <w:szCs w:val="24"/>
              </w:rPr>
            </w:pPr>
          </w:p>
        </w:tc>
        <w:tc>
          <w:tcPr>
            <w:tcW w:w="5245" w:type="dxa"/>
            <w:tcBorders>
              <w:top w:val="single" w:sz="4" w:space="0" w:color="auto"/>
              <w:left w:val="single" w:sz="4" w:space="0" w:color="000000"/>
              <w:bottom w:val="single" w:sz="4" w:space="0" w:color="000000"/>
              <w:right w:val="single" w:sz="4" w:space="0" w:color="000000"/>
            </w:tcBorders>
          </w:tcPr>
          <w:p w14:paraId="75B55813" w14:textId="77777777" w:rsidR="00726441" w:rsidRPr="00C61699" w:rsidRDefault="00726441" w:rsidP="00726441">
            <w:pPr>
              <w:adjustRightInd/>
              <w:spacing w:before="11" w:line="276" w:lineRule="auto"/>
              <w:ind w:left="347" w:right="55" w:firstLine="641"/>
              <w:rPr>
                <w:rFonts w:ascii="Times New Roman" w:cs="Times New Roman"/>
                <w:color w:val="000000" w:themeColor="text1"/>
                <w:sz w:val="24"/>
                <w:szCs w:val="24"/>
                <w:highlight w:val="yellow"/>
              </w:rPr>
            </w:pPr>
          </w:p>
        </w:tc>
        <w:tc>
          <w:tcPr>
            <w:tcW w:w="5103" w:type="dxa"/>
            <w:tcBorders>
              <w:top w:val="single" w:sz="4" w:space="0" w:color="auto"/>
              <w:left w:val="single" w:sz="4" w:space="0" w:color="000000"/>
              <w:bottom w:val="single" w:sz="4" w:space="0" w:color="000000"/>
              <w:right w:val="single" w:sz="4" w:space="0" w:color="000000"/>
            </w:tcBorders>
          </w:tcPr>
          <w:p w14:paraId="4900D0BB" w14:textId="03381B95" w:rsidR="005C0F3F" w:rsidRPr="00C61699" w:rsidRDefault="005C0F3F" w:rsidP="005C0F3F">
            <w:pPr>
              <w:ind w:left="156" w:hangingChars="56" w:hanging="156"/>
              <w:jc w:val="both"/>
              <w:rPr>
                <w:rFonts w:ascii="Times New Roman" w:cs="Times New Roman"/>
                <w:color w:val="000000" w:themeColor="text1"/>
                <w:spacing w:val="-1"/>
                <w:sz w:val="28"/>
                <w:szCs w:val="28"/>
              </w:rPr>
            </w:pPr>
          </w:p>
        </w:tc>
      </w:tr>
      <w:tr w:rsidR="00C61699" w:rsidRPr="00C61699" w14:paraId="42294D99" w14:textId="77777777" w:rsidTr="004D0A60">
        <w:trPr>
          <w:trHeight w:val="443"/>
        </w:trPr>
        <w:tc>
          <w:tcPr>
            <w:tcW w:w="5113" w:type="dxa"/>
            <w:vMerge/>
            <w:tcBorders>
              <w:left w:val="single" w:sz="4" w:space="0" w:color="000000"/>
              <w:right w:val="single" w:sz="4" w:space="0" w:color="000000"/>
            </w:tcBorders>
          </w:tcPr>
          <w:p w14:paraId="51A25547" w14:textId="77777777" w:rsidR="00726441" w:rsidRPr="00C61699" w:rsidRDefault="00726441" w:rsidP="00C8427A">
            <w:pPr>
              <w:adjustRightInd/>
              <w:spacing w:before="35" w:line="276" w:lineRule="auto"/>
              <w:ind w:left="347" w:right="86" w:hanging="240"/>
              <w:jc w:val="both"/>
              <w:rPr>
                <w:rFonts w:ascii="Times New Roman" w:cs="Times New Roman"/>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5BAE74E2" w14:textId="4059FBB3" w:rsidR="00726441" w:rsidRPr="00C61699" w:rsidRDefault="00726441" w:rsidP="00752ACE">
            <w:pPr>
              <w:adjustRightInd/>
              <w:spacing w:before="35" w:line="276" w:lineRule="auto"/>
              <w:ind w:left="347" w:right="86" w:firstLine="641"/>
              <w:jc w:val="both"/>
              <w:rPr>
                <w:rFonts w:ascii="Times New Roman" w:cs="Times New Roman"/>
                <w:b/>
                <w:bCs/>
                <w:strike/>
                <w:color w:val="000000" w:themeColor="text1"/>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4EC6F81D" w14:textId="1A86CC58" w:rsidR="003453AA" w:rsidRPr="00C61699" w:rsidRDefault="003453AA" w:rsidP="00986FE0">
            <w:pPr>
              <w:ind w:left="157" w:hangingChars="56" w:hanging="157"/>
              <w:jc w:val="both"/>
              <w:rPr>
                <w:rFonts w:ascii="Times New Roman" w:cs="Times New Roman"/>
                <w:color w:val="000000" w:themeColor="text1"/>
                <w:sz w:val="28"/>
                <w:szCs w:val="28"/>
                <w:highlight w:val="yellow"/>
              </w:rPr>
            </w:pPr>
          </w:p>
        </w:tc>
      </w:tr>
      <w:tr w:rsidR="00C61699" w:rsidRPr="00C61699" w14:paraId="76E142C2" w14:textId="77777777" w:rsidTr="00A42977">
        <w:trPr>
          <w:trHeight w:val="443"/>
        </w:trPr>
        <w:tc>
          <w:tcPr>
            <w:tcW w:w="5113" w:type="dxa"/>
            <w:vMerge/>
            <w:tcBorders>
              <w:left w:val="single" w:sz="4" w:space="0" w:color="000000"/>
              <w:bottom w:val="single" w:sz="4" w:space="0" w:color="000000"/>
              <w:right w:val="single" w:sz="4" w:space="0" w:color="000000"/>
            </w:tcBorders>
          </w:tcPr>
          <w:p w14:paraId="77839905" w14:textId="77777777" w:rsidR="00726441" w:rsidRPr="00C61699" w:rsidRDefault="00726441" w:rsidP="00C8427A">
            <w:pPr>
              <w:adjustRightInd/>
              <w:spacing w:before="35" w:line="276" w:lineRule="auto"/>
              <w:ind w:left="347" w:right="86" w:hanging="240"/>
              <w:jc w:val="both"/>
              <w:rPr>
                <w:rFonts w:ascii="Times New Roman" w:cs="Times New Roman"/>
                <w:color w:val="000000" w:themeColor="text1"/>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0E924F7A" w14:textId="77777777" w:rsidR="00726441" w:rsidRPr="00C61699" w:rsidRDefault="00726441" w:rsidP="00C8427A">
            <w:pPr>
              <w:ind w:left="103" w:hangingChars="43" w:hanging="103"/>
              <w:jc w:val="both"/>
              <w:rPr>
                <w:rFonts w:ascii="Times New Roman" w:cs="Times New Roman"/>
                <w:color w:val="000000" w:themeColor="text1"/>
                <w:sz w:val="24"/>
                <w:szCs w:val="24"/>
                <w:highlight w:val="yellow"/>
              </w:rPr>
            </w:pPr>
          </w:p>
        </w:tc>
        <w:tc>
          <w:tcPr>
            <w:tcW w:w="5103" w:type="dxa"/>
            <w:tcBorders>
              <w:top w:val="single" w:sz="4" w:space="0" w:color="000000"/>
              <w:left w:val="single" w:sz="4" w:space="0" w:color="000000"/>
              <w:bottom w:val="single" w:sz="4" w:space="0" w:color="000000"/>
              <w:right w:val="single" w:sz="4" w:space="0" w:color="000000"/>
            </w:tcBorders>
          </w:tcPr>
          <w:p w14:paraId="1DFFBC23" w14:textId="5719E78E" w:rsidR="00726441" w:rsidRPr="00C61699" w:rsidRDefault="00726441" w:rsidP="003F5995">
            <w:pPr>
              <w:ind w:leftChars="-8" w:left="-18" w:firstLineChars="6" w:firstLine="17"/>
              <w:jc w:val="both"/>
              <w:rPr>
                <w:rFonts w:ascii="Times New Roman" w:cs="Times New Roman"/>
                <w:color w:val="000000" w:themeColor="text1"/>
                <w:sz w:val="28"/>
                <w:szCs w:val="28"/>
                <w:highlight w:val="yellow"/>
              </w:rPr>
            </w:pPr>
          </w:p>
        </w:tc>
      </w:tr>
      <w:tr w:rsidR="00C61699" w:rsidRPr="00C61699" w14:paraId="7FF62618" w14:textId="77777777" w:rsidTr="00A70127">
        <w:trPr>
          <w:trHeight w:val="1388"/>
        </w:trPr>
        <w:tc>
          <w:tcPr>
            <w:tcW w:w="5113" w:type="dxa"/>
            <w:tcBorders>
              <w:top w:val="single" w:sz="4" w:space="0" w:color="000000"/>
              <w:left w:val="single" w:sz="4" w:space="0" w:color="000000"/>
              <w:bottom w:val="single" w:sz="4" w:space="0" w:color="000000"/>
              <w:right w:val="single" w:sz="4" w:space="0" w:color="000000"/>
            </w:tcBorders>
          </w:tcPr>
          <w:p w14:paraId="718516C0" w14:textId="77777777" w:rsidR="00C8427A" w:rsidRPr="00C61699" w:rsidRDefault="00C8427A" w:rsidP="00C8427A">
            <w:pPr>
              <w:pStyle w:val="Default"/>
              <w:jc w:val="both"/>
              <w:rPr>
                <w:rFonts w:ascii="Times New Roman" w:hAnsi="Times New Roman" w:cs="Times New Roman"/>
                <w:color w:val="000000" w:themeColor="text1"/>
              </w:rPr>
            </w:pPr>
            <w:r w:rsidRPr="00C61699">
              <w:rPr>
                <w:rFonts w:ascii="Times New Roman" w:hAnsi="Times New Roman" w:cs="Times New Roman"/>
                <w:color w:val="000000" w:themeColor="text1"/>
              </w:rPr>
              <w:t>第七條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事業依本法第二十四條規定進行溫室氣</w:t>
            </w:r>
          </w:p>
          <w:p w14:paraId="36F48FF3" w14:textId="2A618641" w:rsidR="00C8427A" w:rsidRPr="00C61699" w:rsidRDefault="00C8427A" w:rsidP="00C8427A">
            <w:pPr>
              <w:pStyle w:val="Default"/>
              <w:ind w:leftChars="132" w:left="290" w:firstLineChars="2" w:firstLine="5"/>
              <w:jc w:val="both"/>
              <w:rPr>
                <w:rFonts w:ascii="Times New Roman" w:hAnsi="Times New Roman" w:cs="Times New Roman"/>
                <w:color w:val="000000" w:themeColor="text1"/>
              </w:rPr>
            </w:pPr>
            <w:r w:rsidRPr="00C61699">
              <w:rPr>
                <w:rFonts w:ascii="Times New Roman" w:hAnsi="Times New Roman" w:cs="Times New Roman"/>
                <w:color w:val="000000" w:themeColor="text1"/>
              </w:rPr>
              <w:t>體增量</w:t>
            </w:r>
            <w:proofErr w:type="gramStart"/>
            <w:r w:rsidRPr="00C61699">
              <w:rPr>
                <w:rFonts w:ascii="Times New Roman" w:hAnsi="Times New Roman" w:cs="Times New Roman"/>
                <w:color w:val="000000" w:themeColor="text1"/>
              </w:rPr>
              <w:t>抵換者</w:t>
            </w:r>
            <w:proofErr w:type="gramEnd"/>
            <w:r w:rsidRPr="00C61699">
              <w:rPr>
                <w:rFonts w:ascii="Times New Roman" w:hAnsi="Times New Roman" w:cs="Times New Roman"/>
                <w:color w:val="000000" w:themeColor="text1"/>
              </w:rPr>
              <w:t>，得</w:t>
            </w:r>
            <w:proofErr w:type="gramStart"/>
            <w:r w:rsidRPr="00C61699">
              <w:rPr>
                <w:rFonts w:ascii="Times New Roman" w:hAnsi="Times New Roman" w:cs="Times New Roman"/>
                <w:color w:val="000000" w:themeColor="text1"/>
              </w:rPr>
              <w:t>併同碳費</w:t>
            </w:r>
            <w:proofErr w:type="gramEnd"/>
            <w:r w:rsidRPr="00C61699">
              <w:rPr>
                <w:rFonts w:ascii="Times New Roman" w:hAnsi="Times New Roman" w:cs="Times New Roman"/>
                <w:color w:val="000000" w:themeColor="text1"/>
              </w:rPr>
              <w:t>申報作業，檢具相關證明文件，向中央主管機關提出申請第五條第二項排放量之扣除。</w:t>
            </w:r>
          </w:p>
        </w:tc>
        <w:tc>
          <w:tcPr>
            <w:tcW w:w="5245" w:type="dxa"/>
            <w:tcBorders>
              <w:top w:val="single" w:sz="4" w:space="0" w:color="000000"/>
              <w:left w:val="single" w:sz="4" w:space="0" w:color="000000"/>
              <w:bottom w:val="single" w:sz="4" w:space="0" w:color="000000"/>
              <w:right w:val="single" w:sz="4" w:space="0" w:color="000000"/>
            </w:tcBorders>
          </w:tcPr>
          <w:p w14:paraId="31EB1CF5"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rPr>
            </w:pPr>
          </w:p>
        </w:tc>
        <w:tc>
          <w:tcPr>
            <w:tcW w:w="5103" w:type="dxa"/>
            <w:tcBorders>
              <w:top w:val="single" w:sz="4" w:space="0" w:color="000000"/>
              <w:left w:val="single" w:sz="4" w:space="0" w:color="000000"/>
              <w:bottom w:val="single" w:sz="4" w:space="0" w:color="000000"/>
              <w:right w:val="single" w:sz="4" w:space="0" w:color="000000"/>
            </w:tcBorders>
          </w:tcPr>
          <w:p w14:paraId="23C2B713"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sz w:val="28"/>
                <w:szCs w:val="28"/>
              </w:rPr>
            </w:pPr>
          </w:p>
        </w:tc>
      </w:tr>
      <w:tr w:rsidR="00C61699" w:rsidRPr="00C61699" w14:paraId="630E487A" w14:textId="77777777" w:rsidTr="0056743A">
        <w:tc>
          <w:tcPr>
            <w:tcW w:w="5113" w:type="dxa"/>
            <w:tcBorders>
              <w:top w:val="single" w:sz="4" w:space="0" w:color="000000"/>
              <w:left w:val="single" w:sz="4" w:space="0" w:color="000000"/>
              <w:bottom w:val="single" w:sz="4" w:space="0" w:color="000000"/>
              <w:right w:val="single" w:sz="4" w:space="0" w:color="000000"/>
            </w:tcBorders>
          </w:tcPr>
          <w:p w14:paraId="3687DB7D" w14:textId="7A683F01" w:rsidR="00C8427A" w:rsidRPr="00C61699" w:rsidRDefault="00C8427A" w:rsidP="00C8427A">
            <w:pPr>
              <w:pStyle w:val="Default"/>
              <w:ind w:left="154" w:hangingChars="64" w:hanging="154"/>
              <w:rPr>
                <w:rFonts w:ascii="Times New Roman" w:hAnsi="Times New Roman" w:cs="Times New Roman"/>
                <w:color w:val="000000" w:themeColor="text1"/>
              </w:rPr>
            </w:pPr>
            <w:r w:rsidRPr="00C61699">
              <w:rPr>
                <w:rFonts w:ascii="Times New Roman" w:hAnsi="Times New Roman" w:cs="Times New Roman"/>
                <w:color w:val="000000" w:themeColor="text1"/>
              </w:rPr>
              <w:t>第八條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生產電力之事業依規定</w:t>
            </w:r>
            <w:proofErr w:type="gramStart"/>
            <w:r w:rsidRPr="00C61699">
              <w:rPr>
                <w:rFonts w:ascii="Times New Roman" w:hAnsi="Times New Roman" w:cs="Times New Roman"/>
                <w:color w:val="000000" w:themeColor="text1"/>
              </w:rPr>
              <w:t>申報碳費</w:t>
            </w:r>
            <w:proofErr w:type="gramEnd"/>
            <w:r w:rsidRPr="00C61699">
              <w:rPr>
                <w:rFonts w:ascii="Times New Roman" w:hAnsi="Times New Roman" w:cs="Times New Roman"/>
                <w:color w:val="000000" w:themeColor="text1"/>
              </w:rPr>
              <w:t>，得檢具提供電力消費之排放量證明文件，</w:t>
            </w:r>
            <w:proofErr w:type="gramStart"/>
            <w:r w:rsidRPr="00C61699">
              <w:rPr>
                <w:rFonts w:ascii="Times New Roman" w:hAnsi="Times New Roman" w:cs="Times New Roman"/>
                <w:color w:val="000000" w:themeColor="text1"/>
              </w:rPr>
              <w:t>併同碳費</w:t>
            </w:r>
            <w:proofErr w:type="gramEnd"/>
            <w:r w:rsidRPr="00C61699">
              <w:rPr>
                <w:rFonts w:ascii="Times New Roman" w:hAnsi="Times New Roman" w:cs="Times New Roman"/>
                <w:color w:val="000000" w:themeColor="text1"/>
              </w:rPr>
              <w:t>申報作業，向中央主管機關提出申請第五條第二項排放量之扣除。</w:t>
            </w:r>
          </w:p>
          <w:p w14:paraId="67614953" w14:textId="461E0B40" w:rsidR="00C8427A" w:rsidRPr="00C61699" w:rsidRDefault="00C8427A" w:rsidP="00C8427A">
            <w:pPr>
              <w:pStyle w:val="TableParagraph"/>
              <w:kinsoku w:val="0"/>
              <w:overflowPunct w:val="0"/>
              <w:spacing w:before="4" w:line="223" w:lineRule="auto"/>
              <w:ind w:leftChars="67" w:left="147" w:right="46" w:firstLineChars="184" w:firstLine="442"/>
              <w:jc w:val="left"/>
              <w:rPr>
                <w:rFonts w:ascii="Times New Roman" w:cs="Times New Roman"/>
                <w:color w:val="000000" w:themeColor="text1"/>
                <w:spacing w:val="6"/>
              </w:rPr>
            </w:pPr>
            <w:r w:rsidRPr="00C61699">
              <w:rPr>
                <w:rFonts w:ascii="Times New Roman" w:cs="Times New Roman"/>
                <w:color w:val="000000" w:themeColor="text1"/>
              </w:rPr>
              <w:t>前項電力消費之排放量證明文件，包含生產電力事業躉售公用售電業之電量及</w:t>
            </w:r>
            <w:proofErr w:type="gramStart"/>
            <w:r w:rsidRPr="00C61699">
              <w:rPr>
                <w:rFonts w:ascii="Times New Roman" w:cs="Times New Roman"/>
                <w:color w:val="000000" w:themeColor="text1"/>
              </w:rPr>
              <w:t>其排碳強度</w:t>
            </w:r>
            <w:proofErr w:type="gramEnd"/>
            <w:r w:rsidRPr="00C61699">
              <w:rPr>
                <w:rFonts w:ascii="Times New Roman" w:cs="Times New Roman"/>
                <w:color w:val="000000" w:themeColor="text1"/>
              </w:rPr>
              <w:t>等相關資料。</w:t>
            </w:r>
          </w:p>
        </w:tc>
        <w:tc>
          <w:tcPr>
            <w:tcW w:w="5245" w:type="dxa"/>
            <w:tcBorders>
              <w:top w:val="single" w:sz="4" w:space="0" w:color="000000"/>
              <w:left w:val="single" w:sz="4" w:space="0" w:color="000000"/>
              <w:bottom w:val="single" w:sz="4" w:space="0" w:color="000000"/>
              <w:right w:val="single" w:sz="4" w:space="0" w:color="000000"/>
            </w:tcBorders>
          </w:tcPr>
          <w:p w14:paraId="2E0903B3" w14:textId="60C3755A" w:rsidR="00C8427A" w:rsidRPr="00C61699" w:rsidRDefault="00C8427A" w:rsidP="00C8427A">
            <w:pPr>
              <w:ind w:left="103" w:hangingChars="43" w:hanging="103"/>
              <w:jc w:val="both"/>
              <w:rPr>
                <w:rFonts w:ascii="Times New Roman" w:cs="Times New Roman"/>
                <w:color w:val="000000" w:themeColor="text1"/>
                <w:spacing w:val="-1"/>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2ADFB422" w14:textId="17D51126" w:rsidR="00C8427A" w:rsidRPr="00C61699" w:rsidRDefault="00C8427A" w:rsidP="002114DA">
            <w:pPr>
              <w:jc w:val="both"/>
              <w:rPr>
                <w:rFonts w:ascii="Times New Roman" w:cs="Times New Roman"/>
                <w:color w:val="000000" w:themeColor="text1"/>
                <w:spacing w:val="-1"/>
                <w:sz w:val="28"/>
                <w:szCs w:val="28"/>
              </w:rPr>
            </w:pPr>
          </w:p>
        </w:tc>
      </w:tr>
      <w:tr w:rsidR="00C61699" w:rsidRPr="00C61699" w14:paraId="3004A15F" w14:textId="77777777" w:rsidTr="00D62CC4">
        <w:trPr>
          <w:trHeight w:val="429"/>
        </w:trPr>
        <w:tc>
          <w:tcPr>
            <w:tcW w:w="5113" w:type="dxa"/>
            <w:tcBorders>
              <w:top w:val="single" w:sz="4" w:space="0" w:color="000000"/>
              <w:left w:val="single" w:sz="4" w:space="0" w:color="000000"/>
              <w:bottom w:val="single" w:sz="4" w:space="0" w:color="000000"/>
              <w:right w:val="single" w:sz="4" w:space="0" w:color="000000"/>
            </w:tcBorders>
          </w:tcPr>
          <w:p w14:paraId="0274ED69" w14:textId="77777777" w:rsidR="00C8427A" w:rsidRPr="00C61699" w:rsidRDefault="00C8427A" w:rsidP="00C8427A">
            <w:pPr>
              <w:pStyle w:val="Default"/>
              <w:ind w:left="302" w:hangingChars="126" w:hanging="302"/>
              <w:jc w:val="both"/>
              <w:rPr>
                <w:rFonts w:ascii="Times New Roman" w:hAnsi="Times New Roman" w:cs="Times New Roman"/>
                <w:color w:val="000000" w:themeColor="text1"/>
              </w:rPr>
            </w:pPr>
            <w:r w:rsidRPr="00C61699">
              <w:rPr>
                <w:rFonts w:ascii="Times New Roman" w:hAnsi="Times New Roman" w:cs="Times New Roman"/>
                <w:color w:val="000000" w:themeColor="text1"/>
              </w:rPr>
              <w:t>第九條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事業依本法第三十條規定，得以</w:t>
            </w:r>
            <w:proofErr w:type="gramStart"/>
            <w:r w:rsidRPr="00C61699">
              <w:rPr>
                <w:rFonts w:ascii="Times New Roman" w:hAnsi="Times New Roman" w:cs="Times New Roman"/>
                <w:color w:val="000000" w:themeColor="text1"/>
              </w:rPr>
              <w:t>國內減</w:t>
            </w:r>
            <w:proofErr w:type="gramEnd"/>
            <w:r w:rsidRPr="00C61699">
              <w:rPr>
                <w:rFonts w:ascii="Times New Roman" w:hAnsi="Times New Roman" w:cs="Times New Roman"/>
                <w:color w:val="000000" w:themeColor="text1"/>
              </w:rPr>
              <w:t>量額度申請第五條第二項排放量之扣除，其扣除上限不得超過事業年排放量之百分之十，減量額度之種類及其額度扣減排放量比率規定如下：</w:t>
            </w:r>
          </w:p>
          <w:p w14:paraId="5AC490F0" w14:textId="77777777" w:rsidR="00C8427A" w:rsidRPr="00C61699" w:rsidRDefault="00C8427A" w:rsidP="00C8427A">
            <w:pPr>
              <w:pStyle w:val="Default"/>
              <w:ind w:leftChars="132" w:left="734" w:hangingChars="185" w:hanging="444"/>
              <w:jc w:val="both"/>
              <w:rPr>
                <w:rFonts w:ascii="Times New Roman" w:hAnsi="Times New Roman" w:cs="Times New Roman"/>
                <w:color w:val="000000" w:themeColor="text1"/>
              </w:rPr>
            </w:pPr>
            <w:r w:rsidRPr="00C61699">
              <w:rPr>
                <w:rFonts w:ascii="Times New Roman" w:hAnsi="Times New Roman" w:cs="Times New Roman"/>
                <w:color w:val="000000" w:themeColor="text1"/>
              </w:rPr>
              <w:t>一、依溫室氣體自願減量專案管理辦法及溫室氣體抵換專案管理辦法取得之自願減量專案及抵換專案減量額度，得扣減排放量之比率為一點二。</w:t>
            </w:r>
          </w:p>
          <w:p w14:paraId="41F91F15" w14:textId="77777777" w:rsidR="00C8427A" w:rsidRPr="00C61699" w:rsidRDefault="00C8427A" w:rsidP="00C8427A">
            <w:pPr>
              <w:pStyle w:val="Default"/>
              <w:ind w:leftChars="133" w:left="732" w:hangingChars="183" w:hanging="439"/>
              <w:jc w:val="both"/>
              <w:rPr>
                <w:rFonts w:ascii="Times New Roman" w:hAnsi="Times New Roman" w:cs="Times New Roman"/>
                <w:color w:val="000000" w:themeColor="text1"/>
              </w:rPr>
            </w:pPr>
            <w:r w:rsidRPr="00C61699">
              <w:rPr>
                <w:rFonts w:ascii="Times New Roman" w:hAnsi="Times New Roman" w:cs="Times New Roman"/>
                <w:color w:val="000000" w:themeColor="text1"/>
              </w:rPr>
              <w:lastRenderedPageBreak/>
              <w:t>二、於本法修正施行前，依行政院環境保護署溫室氣體先期</w:t>
            </w:r>
            <w:proofErr w:type="gramStart"/>
            <w:r w:rsidRPr="00C61699">
              <w:rPr>
                <w:rFonts w:ascii="Times New Roman" w:hAnsi="Times New Roman" w:cs="Times New Roman"/>
                <w:color w:val="000000" w:themeColor="text1"/>
              </w:rPr>
              <w:t>專案暨抵換</w:t>
            </w:r>
            <w:proofErr w:type="gramEnd"/>
            <w:r w:rsidRPr="00C61699">
              <w:rPr>
                <w:rFonts w:ascii="Times New Roman" w:hAnsi="Times New Roman" w:cs="Times New Roman"/>
                <w:color w:val="000000" w:themeColor="text1"/>
              </w:rPr>
              <w:t>專案推動原則取得之先期專案減量額度，得供</w:t>
            </w:r>
            <w:proofErr w:type="gramStart"/>
            <w:r w:rsidRPr="00C61699">
              <w:rPr>
                <w:rFonts w:ascii="Times New Roman" w:hAnsi="Times New Roman" w:cs="Times New Roman"/>
                <w:color w:val="000000" w:themeColor="text1"/>
              </w:rPr>
              <w:t>非屬經審查</w:t>
            </w:r>
            <w:proofErr w:type="gramEnd"/>
            <w:r w:rsidRPr="00C61699">
              <w:rPr>
                <w:rFonts w:ascii="Times New Roman" w:hAnsi="Times New Roman" w:cs="Times New Roman"/>
                <w:color w:val="000000" w:themeColor="text1"/>
              </w:rPr>
              <w:t>認定之高碳洩漏風險事業扣減排放量，</w:t>
            </w:r>
            <w:proofErr w:type="gramStart"/>
            <w:r w:rsidRPr="00C61699">
              <w:rPr>
                <w:rFonts w:ascii="Times New Roman" w:hAnsi="Times New Roman" w:cs="Times New Roman"/>
                <w:color w:val="000000" w:themeColor="text1"/>
              </w:rPr>
              <w:t>其扣減</w:t>
            </w:r>
            <w:proofErr w:type="gramEnd"/>
            <w:r w:rsidRPr="00C61699">
              <w:rPr>
                <w:rFonts w:ascii="Times New Roman" w:hAnsi="Times New Roman" w:cs="Times New Roman"/>
                <w:color w:val="000000" w:themeColor="text1"/>
              </w:rPr>
              <w:t>比率為零點三。</w:t>
            </w:r>
          </w:p>
          <w:p w14:paraId="20F1B45B" w14:textId="374E2FE6" w:rsidR="00C8427A" w:rsidRPr="00C61699" w:rsidRDefault="00C8427A" w:rsidP="00C8427A">
            <w:pPr>
              <w:adjustRightInd/>
              <w:spacing w:before="3" w:line="276" w:lineRule="auto"/>
              <w:ind w:leftChars="132" w:left="290" w:right="86" w:firstLineChars="184" w:firstLine="442"/>
              <w:jc w:val="both"/>
              <w:rPr>
                <w:rFonts w:ascii="Times New Roman" w:cs="Times New Roman"/>
                <w:color w:val="000000" w:themeColor="text1"/>
                <w:spacing w:val="6"/>
                <w:sz w:val="24"/>
                <w:szCs w:val="24"/>
              </w:rPr>
            </w:pPr>
            <w:r w:rsidRPr="00C61699">
              <w:rPr>
                <w:rFonts w:ascii="Times New Roman" w:cs="Times New Roman"/>
                <w:color w:val="000000" w:themeColor="text1"/>
                <w:sz w:val="24"/>
                <w:szCs w:val="24"/>
              </w:rPr>
              <w:t>前項第二款取得之減量額度，僅限於扣除中華民國一百十三年至一百十四年之排放量。</w:t>
            </w:r>
          </w:p>
        </w:tc>
        <w:tc>
          <w:tcPr>
            <w:tcW w:w="5245" w:type="dxa"/>
            <w:tcBorders>
              <w:top w:val="single" w:sz="4" w:space="0" w:color="000000"/>
              <w:left w:val="single" w:sz="4" w:space="0" w:color="000000"/>
              <w:bottom w:val="single" w:sz="4" w:space="0" w:color="000000"/>
              <w:right w:val="single" w:sz="4" w:space="0" w:color="000000"/>
            </w:tcBorders>
          </w:tcPr>
          <w:p w14:paraId="5E21E87D" w14:textId="5FEED691" w:rsidR="00C8427A" w:rsidRPr="00C61699" w:rsidRDefault="00C8427A" w:rsidP="00C8427A">
            <w:pPr>
              <w:ind w:leftChars="46" w:left="101" w:firstLineChars="188" w:firstLine="449"/>
              <w:jc w:val="both"/>
              <w:rPr>
                <w:rFonts w:ascii="Times New Roman" w:cs="Times New Roman"/>
                <w:color w:val="000000" w:themeColor="text1"/>
                <w:spacing w:val="-1"/>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5E0E6D7" w14:textId="63FF9B1F" w:rsidR="00C8427A" w:rsidRPr="00C61699" w:rsidRDefault="00C8427A" w:rsidP="002114DA">
            <w:pPr>
              <w:ind w:leftChars="30" w:left="66" w:rightChars="30" w:right="66"/>
              <w:jc w:val="both"/>
              <w:rPr>
                <w:rFonts w:ascii="Times New Roman" w:cs="Times New Roman"/>
                <w:color w:val="000000" w:themeColor="text1"/>
                <w:spacing w:val="-1"/>
                <w:sz w:val="28"/>
                <w:szCs w:val="28"/>
              </w:rPr>
            </w:pPr>
          </w:p>
        </w:tc>
      </w:tr>
      <w:tr w:rsidR="00C61699" w:rsidRPr="00C61699" w14:paraId="3F2CB744" w14:textId="77777777" w:rsidTr="00D62CC4">
        <w:trPr>
          <w:trHeight w:val="1719"/>
        </w:trPr>
        <w:tc>
          <w:tcPr>
            <w:tcW w:w="5113" w:type="dxa"/>
            <w:tcBorders>
              <w:top w:val="single" w:sz="4" w:space="0" w:color="000000"/>
              <w:left w:val="single" w:sz="4" w:space="0" w:color="000000"/>
              <w:bottom w:val="single" w:sz="4" w:space="0" w:color="000000"/>
              <w:right w:val="single" w:sz="4" w:space="0" w:color="000000"/>
            </w:tcBorders>
          </w:tcPr>
          <w:p w14:paraId="3CAF7621" w14:textId="5DDABA9B" w:rsidR="00C8427A" w:rsidRPr="00C61699" w:rsidRDefault="00C8427A" w:rsidP="00C8427A">
            <w:pPr>
              <w:pStyle w:val="Default"/>
              <w:ind w:left="302" w:hangingChars="126" w:hanging="302"/>
              <w:jc w:val="both"/>
              <w:rPr>
                <w:rFonts w:ascii="Times New Roman" w:hAnsi="Times New Roman" w:cs="Times New Roman"/>
                <w:color w:val="000000" w:themeColor="text1"/>
              </w:rPr>
            </w:pPr>
            <w:r w:rsidRPr="00C61699">
              <w:rPr>
                <w:rFonts w:ascii="Times New Roman" w:hAnsi="Times New Roman" w:cs="Times New Roman"/>
                <w:color w:val="000000" w:themeColor="text1"/>
              </w:rPr>
              <w:t>第十條</w:t>
            </w:r>
            <w:r w:rsidRPr="00C61699">
              <w:rPr>
                <w:rFonts w:ascii="Times New Roman" w:hAnsi="Times New Roman" w:cs="Times New Roman"/>
                <w:color w:val="000000" w:themeColor="text1"/>
              </w:rPr>
              <w:t xml:space="preserve"> </w:t>
            </w:r>
            <w:proofErr w:type="gramStart"/>
            <w:r w:rsidRPr="00C61699">
              <w:rPr>
                <w:rFonts w:ascii="Times New Roman" w:hAnsi="Times New Roman" w:cs="Times New Roman"/>
                <w:color w:val="000000" w:themeColor="text1"/>
              </w:rPr>
              <w:t>非屬經審查</w:t>
            </w:r>
            <w:proofErr w:type="gramEnd"/>
            <w:r w:rsidRPr="00C61699">
              <w:rPr>
                <w:rFonts w:ascii="Times New Roman" w:hAnsi="Times New Roman" w:cs="Times New Roman"/>
                <w:color w:val="000000" w:themeColor="text1"/>
              </w:rPr>
              <w:t>認定高碳洩漏風險事業依本法二十七條規定，以符合中央主管機關認可之</w:t>
            </w:r>
            <w:proofErr w:type="gramStart"/>
            <w:r w:rsidRPr="00C61699">
              <w:rPr>
                <w:rFonts w:ascii="Times New Roman" w:hAnsi="Times New Roman" w:cs="Times New Roman"/>
                <w:color w:val="000000" w:themeColor="text1"/>
              </w:rPr>
              <w:t>國外減</w:t>
            </w:r>
            <w:proofErr w:type="gramEnd"/>
            <w:r w:rsidRPr="00C61699">
              <w:rPr>
                <w:rFonts w:ascii="Times New Roman" w:hAnsi="Times New Roman" w:cs="Times New Roman"/>
                <w:color w:val="000000" w:themeColor="text1"/>
              </w:rPr>
              <w:t>量額度申請第五條第二項排放量之扣除，其扣除上限不得超過事業年排放量之百分之五。</w:t>
            </w:r>
          </w:p>
        </w:tc>
        <w:tc>
          <w:tcPr>
            <w:tcW w:w="5245" w:type="dxa"/>
            <w:tcBorders>
              <w:top w:val="single" w:sz="4" w:space="0" w:color="000000"/>
              <w:left w:val="single" w:sz="4" w:space="0" w:color="000000"/>
              <w:bottom w:val="single" w:sz="4" w:space="0" w:color="000000"/>
              <w:right w:val="single" w:sz="4" w:space="0" w:color="000000"/>
            </w:tcBorders>
          </w:tcPr>
          <w:p w14:paraId="4E595F2E" w14:textId="6AF84EEE" w:rsidR="00C8427A" w:rsidRPr="00C61699" w:rsidRDefault="00C8427A" w:rsidP="00C8427A">
            <w:pPr>
              <w:adjustRightInd/>
              <w:spacing w:before="3" w:line="276" w:lineRule="auto"/>
              <w:ind w:leftChars="62" w:left="136" w:right="86"/>
              <w:jc w:val="both"/>
              <w:rPr>
                <w:rFonts w:ascii="Times New Roman" w:cs="Times New Roman"/>
                <w:color w:val="000000" w:themeColor="text1"/>
                <w:spacing w:val="-1"/>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5A53D47" w14:textId="68AA5E80" w:rsidR="002114DA" w:rsidRPr="00C61699" w:rsidRDefault="002114DA" w:rsidP="00C8427A">
            <w:pPr>
              <w:suppressAutoHyphens/>
              <w:autoSpaceDE/>
              <w:adjustRightInd/>
              <w:ind w:leftChars="30" w:left="66" w:rightChars="30" w:right="66"/>
              <w:jc w:val="both"/>
              <w:textAlignment w:val="baseline"/>
              <w:rPr>
                <w:rFonts w:ascii="Times New Roman" w:cs="Times New Roman"/>
                <w:color w:val="000000" w:themeColor="text1"/>
                <w:spacing w:val="-1"/>
                <w:sz w:val="28"/>
                <w:szCs w:val="28"/>
              </w:rPr>
            </w:pPr>
          </w:p>
        </w:tc>
      </w:tr>
      <w:tr w:rsidR="00C61699" w:rsidRPr="00C61699" w14:paraId="04BB905C" w14:textId="77777777" w:rsidTr="00D62CC4">
        <w:trPr>
          <w:trHeight w:val="2810"/>
        </w:trPr>
        <w:tc>
          <w:tcPr>
            <w:tcW w:w="5113" w:type="dxa"/>
            <w:tcBorders>
              <w:top w:val="single" w:sz="4" w:space="0" w:color="000000"/>
              <w:left w:val="single" w:sz="4" w:space="0" w:color="000000"/>
              <w:bottom w:val="single" w:sz="4" w:space="0" w:color="000000"/>
              <w:right w:val="single" w:sz="4" w:space="0" w:color="000000"/>
            </w:tcBorders>
          </w:tcPr>
          <w:p w14:paraId="04D6CFCD" w14:textId="0C460FF0" w:rsidR="00C8427A" w:rsidRPr="00C61699" w:rsidRDefault="00C8427A" w:rsidP="00C8427A">
            <w:pPr>
              <w:pStyle w:val="Default"/>
              <w:ind w:left="302" w:hangingChars="126" w:hanging="302"/>
              <w:jc w:val="both"/>
              <w:rPr>
                <w:rFonts w:ascii="Times New Roman" w:hAnsi="Times New Roman" w:cs="Times New Roman"/>
                <w:color w:val="000000" w:themeColor="text1"/>
              </w:rPr>
            </w:pPr>
            <w:r w:rsidRPr="00C61699">
              <w:rPr>
                <w:rFonts w:ascii="Times New Roman" w:hAnsi="Times New Roman" w:cs="Times New Roman"/>
                <w:color w:val="000000" w:themeColor="text1"/>
              </w:rPr>
              <w:t>第十一條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事業依前二條規定申請以減量額度扣除第五條第二項排放量者，應於四月底前，向中央主管機關提出使用額度帳戶內減量額度之申請，經中央主管機關核准並註銷減量額度後，始得</w:t>
            </w:r>
            <w:proofErr w:type="gramStart"/>
            <w:r w:rsidRPr="00C61699">
              <w:rPr>
                <w:rFonts w:ascii="Times New Roman" w:hAnsi="Times New Roman" w:cs="Times New Roman"/>
                <w:color w:val="000000" w:themeColor="text1"/>
              </w:rPr>
              <w:t>併同碳費</w:t>
            </w:r>
            <w:proofErr w:type="gramEnd"/>
            <w:r w:rsidRPr="00C61699">
              <w:rPr>
                <w:rFonts w:ascii="Times New Roman" w:hAnsi="Times New Roman" w:cs="Times New Roman"/>
                <w:color w:val="000000" w:themeColor="text1"/>
              </w:rPr>
              <w:t>申報作業扣除排放量。</w:t>
            </w:r>
          </w:p>
        </w:tc>
        <w:tc>
          <w:tcPr>
            <w:tcW w:w="5245" w:type="dxa"/>
            <w:tcBorders>
              <w:top w:val="single" w:sz="4" w:space="0" w:color="000000"/>
              <w:left w:val="single" w:sz="4" w:space="0" w:color="000000"/>
              <w:bottom w:val="single" w:sz="4" w:space="0" w:color="000000"/>
              <w:right w:val="single" w:sz="4" w:space="0" w:color="000000"/>
            </w:tcBorders>
          </w:tcPr>
          <w:p w14:paraId="3F8E4ADF" w14:textId="347618B2" w:rsidR="00C8427A" w:rsidRPr="00C61699" w:rsidRDefault="00C8427A" w:rsidP="00C8427A">
            <w:pPr>
              <w:adjustRightInd/>
              <w:spacing w:before="35" w:line="276" w:lineRule="auto"/>
              <w:ind w:left="141" w:right="97" w:hangingChars="59" w:hanging="141"/>
              <w:jc w:val="both"/>
              <w:rPr>
                <w:rFonts w:ascii="Times New Roman" w:cs="Times New Roman"/>
                <w:color w:val="000000" w:themeColor="text1"/>
                <w:spacing w:val="-1"/>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0DB3636" w14:textId="52F8F905" w:rsidR="005018DD" w:rsidRPr="00C61699" w:rsidRDefault="005018DD" w:rsidP="005018DD">
            <w:pPr>
              <w:suppressAutoHyphens/>
              <w:autoSpaceDE/>
              <w:adjustRightInd/>
              <w:ind w:leftChars="30" w:left="66" w:rightChars="30" w:right="66"/>
              <w:jc w:val="both"/>
              <w:textAlignment w:val="baseline"/>
              <w:rPr>
                <w:rFonts w:ascii="Times New Roman" w:cs="Times New Roman"/>
                <w:color w:val="000000" w:themeColor="text1"/>
                <w:sz w:val="28"/>
                <w:szCs w:val="28"/>
              </w:rPr>
            </w:pPr>
          </w:p>
        </w:tc>
      </w:tr>
      <w:tr w:rsidR="00C61699" w:rsidRPr="00C61699" w14:paraId="5351C03B" w14:textId="77777777" w:rsidTr="00D62CC4">
        <w:trPr>
          <w:trHeight w:val="726"/>
        </w:trPr>
        <w:tc>
          <w:tcPr>
            <w:tcW w:w="5113" w:type="dxa"/>
            <w:tcBorders>
              <w:top w:val="single" w:sz="4" w:space="0" w:color="000000"/>
              <w:left w:val="single" w:sz="4" w:space="0" w:color="000000"/>
              <w:bottom w:val="single" w:sz="4" w:space="0" w:color="000000"/>
              <w:right w:val="single" w:sz="4" w:space="0" w:color="000000"/>
            </w:tcBorders>
          </w:tcPr>
          <w:p w14:paraId="32C97D72" w14:textId="77777777" w:rsidR="00C8427A" w:rsidRPr="00C61699" w:rsidRDefault="00C8427A" w:rsidP="00C8427A">
            <w:pPr>
              <w:pStyle w:val="Default"/>
              <w:ind w:left="302" w:hangingChars="126" w:hanging="302"/>
              <w:jc w:val="both"/>
              <w:rPr>
                <w:rFonts w:ascii="Times New Roman" w:hAnsi="Times New Roman" w:cs="Times New Roman"/>
                <w:color w:val="000000" w:themeColor="text1"/>
              </w:rPr>
            </w:pPr>
            <w:r w:rsidRPr="00C61699">
              <w:rPr>
                <w:rFonts w:ascii="Times New Roman" w:hAnsi="Times New Roman" w:cs="Times New Roman"/>
                <w:color w:val="000000" w:themeColor="text1"/>
              </w:rPr>
              <w:t>第十二條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中央主管機關為</w:t>
            </w:r>
            <w:proofErr w:type="gramStart"/>
            <w:r w:rsidRPr="00C61699">
              <w:rPr>
                <w:rFonts w:ascii="Times New Roman" w:hAnsi="Times New Roman" w:cs="Times New Roman"/>
                <w:color w:val="000000" w:themeColor="text1"/>
              </w:rPr>
              <w:t>執行碳費查核</w:t>
            </w:r>
            <w:proofErr w:type="gramEnd"/>
            <w:r w:rsidRPr="00C61699">
              <w:rPr>
                <w:rFonts w:ascii="Times New Roman" w:hAnsi="Times New Roman" w:cs="Times New Roman"/>
                <w:color w:val="000000" w:themeColor="text1"/>
              </w:rPr>
              <w:t>作業，得通知該事業於十五日內提報下列計算溫室氣體排放量之相關資料：</w:t>
            </w:r>
          </w:p>
          <w:p w14:paraId="76DE4525" w14:textId="77777777" w:rsidR="00C8427A" w:rsidRPr="00C61699" w:rsidRDefault="00C8427A" w:rsidP="00C8427A">
            <w:pPr>
              <w:pStyle w:val="Default"/>
              <w:ind w:leftChars="132" w:left="434" w:hangingChars="60" w:hanging="144"/>
              <w:jc w:val="both"/>
              <w:rPr>
                <w:rFonts w:ascii="Times New Roman" w:hAnsi="Times New Roman" w:cs="Times New Roman"/>
                <w:color w:val="000000" w:themeColor="text1"/>
              </w:rPr>
            </w:pPr>
            <w:r w:rsidRPr="00C61699">
              <w:rPr>
                <w:rFonts w:ascii="Times New Roman" w:hAnsi="Times New Roman" w:cs="Times New Roman"/>
                <w:color w:val="000000" w:themeColor="text1"/>
              </w:rPr>
              <w:t>一、事業排放源平面配置圖及製程流程圖說。</w:t>
            </w:r>
          </w:p>
          <w:p w14:paraId="480F8843" w14:textId="77777777" w:rsidR="00C8427A" w:rsidRPr="00C61699" w:rsidRDefault="00C8427A" w:rsidP="00C8427A">
            <w:pPr>
              <w:pStyle w:val="Default"/>
              <w:ind w:leftChars="132" w:left="734" w:hangingChars="185" w:hanging="444"/>
              <w:jc w:val="both"/>
              <w:rPr>
                <w:rFonts w:ascii="Times New Roman" w:hAnsi="Times New Roman" w:cs="Times New Roman"/>
                <w:color w:val="000000" w:themeColor="text1"/>
              </w:rPr>
            </w:pPr>
            <w:r w:rsidRPr="00C61699">
              <w:rPr>
                <w:rFonts w:ascii="Times New Roman" w:hAnsi="Times New Roman" w:cs="Times New Roman"/>
                <w:color w:val="000000" w:themeColor="text1"/>
              </w:rPr>
              <w:t>二、與溫室氣體排放有關之原（物）料、燃料之種類、成分、熱值及用量、產品種類及生產量，或其他經中央主管機關認定之操</w:t>
            </w:r>
            <w:r w:rsidRPr="00C61699">
              <w:rPr>
                <w:rFonts w:ascii="Times New Roman" w:hAnsi="Times New Roman" w:cs="Times New Roman"/>
                <w:color w:val="000000" w:themeColor="text1"/>
              </w:rPr>
              <w:lastRenderedPageBreak/>
              <w:t>作量紀錄報表。</w:t>
            </w:r>
          </w:p>
          <w:p w14:paraId="16EB5ADE" w14:textId="77777777" w:rsidR="00C8427A" w:rsidRPr="00C61699" w:rsidRDefault="00C8427A" w:rsidP="00C8427A">
            <w:pPr>
              <w:pStyle w:val="Default"/>
              <w:ind w:firstLineChars="126" w:firstLine="302"/>
              <w:jc w:val="both"/>
              <w:rPr>
                <w:rFonts w:ascii="Times New Roman" w:hAnsi="Times New Roman" w:cs="Times New Roman"/>
                <w:color w:val="000000" w:themeColor="text1"/>
              </w:rPr>
            </w:pPr>
            <w:r w:rsidRPr="00C61699">
              <w:rPr>
                <w:rFonts w:ascii="Times New Roman" w:hAnsi="Times New Roman" w:cs="Times New Roman"/>
                <w:color w:val="000000" w:themeColor="text1"/>
              </w:rPr>
              <w:t>三、製程現場操作紀錄報表。</w:t>
            </w:r>
          </w:p>
          <w:p w14:paraId="5E09B909" w14:textId="77777777" w:rsidR="00C8427A" w:rsidRPr="00C61699" w:rsidRDefault="00C8427A" w:rsidP="00C8427A">
            <w:pPr>
              <w:pStyle w:val="Default"/>
              <w:ind w:leftChars="132" w:left="734" w:hangingChars="185" w:hanging="444"/>
              <w:jc w:val="both"/>
              <w:rPr>
                <w:rFonts w:ascii="Times New Roman" w:hAnsi="Times New Roman" w:cs="Times New Roman"/>
                <w:color w:val="000000" w:themeColor="text1"/>
              </w:rPr>
            </w:pPr>
            <w:r w:rsidRPr="00C61699">
              <w:rPr>
                <w:rFonts w:ascii="Times New Roman" w:hAnsi="Times New Roman" w:cs="Times New Roman"/>
                <w:color w:val="000000" w:themeColor="text1"/>
              </w:rPr>
              <w:t>四、進貨、生產、銷貨、存貨憑證、</w:t>
            </w:r>
            <w:proofErr w:type="gramStart"/>
            <w:r w:rsidRPr="00C61699">
              <w:rPr>
                <w:rFonts w:ascii="Times New Roman" w:hAnsi="Times New Roman" w:cs="Times New Roman"/>
                <w:color w:val="000000" w:themeColor="text1"/>
              </w:rPr>
              <w:t>帳冊</w:t>
            </w:r>
            <w:proofErr w:type="gramEnd"/>
            <w:r w:rsidRPr="00C61699">
              <w:rPr>
                <w:rFonts w:ascii="Times New Roman" w:hAnsi="Times New Roman" w:cs="Times New Roman"/>
                <w:color w:val="000000" w:themeColor="text1"/>
              </w:rPr>
              <w:t>相關報表及其他產銷營運或輸出入之相關文件。</w:t>
            </w:r>
          </w:p>
          <w:p w14:paraId="360C6590" w14:textId="77777777" w:rsidR="00C8427A" w:rsidRPr="00C61699" w:rsidRDefault="00C8427A" w:rsidP="00C8427A">
            <w:pPr>
              <w:pStyle w:val="Default"/>
              <w:ind w:leftChars="132" w:left="734" w:hangingChars="185" w:hanging="444"/>
              <w:jc w:val="both"/>
              <w:rPr>
                <w:rFonts w:ascii="Times New Roman" w:hAnsi="Times New Roman" w:cs="Times New Roman"/>
                <w:color w:val="000000" w:themeColor="text1"/>
              </w:rPr>
            </w:pPr>
            <w:r w:rsidRPr="00C61699">
              <w:rPr>
                <w:rFonts w:ascii="Times New Roman" w:hAnsi="Times New Roman" w:cs="Times New Roman"/>
                <w:color w:val="000000" w:themeColor="text1"/>
              </w:rPr>
              <w:t>五、事業執行自主減量計畫</w:t>
            </w:r>
            <w:proofErr w:type="gramStart"/>
            <w:r w:rsidRPr="00C61699">
              <w:rPr>
                <w:rFonts w:ascii="Times New Roman" w:hAnsi="Times New Roman" w:cs="Times New Roman"/>
                <w:color w:val="000000" w:themeColor="text1"/>
              </w:rPr>
              <w:t>採</w:t>
            </w:r>
            <w:proofErr w:type="gramEnd"/>
            <w:r w:rsidRPr="00C61699">
              <w:rPr>
                <w:rFonts w:ascii="Times New Roman" w:hAnsi="Times New Roman" w:cs="Times New Roman"/>
                <w:color w:val="000000" w:themeColor="text1"/>
              </w:rPr>
              <w:t>行具體減量措施之相關證明文件。</w:t>
            </w:r>
          </w:p>
          <w:p w14:paraId="14A1103E" w14:textId="77777777" w:rsidR="00C8427A" w:rsidRPr="00C61699" w:rsidRDefault="00C8427A" w:rsidP="00C8427A">
            <w:pPr>
              <w:pStyle w:val="Default"/>
              <w:ind w:leftChars="132" w:left="734" w:hangingChars="185" w:hanging="444"/>
              <w:jc w:val="both"/>
              <w:rPr>
                <w:rFonts w:ascii="Times New Roman" w:hAnsi="Times New Roman" w:cs="Times New Roman"/>
                <w:color w:val="000000" w:themeColor="text1"/>
              </w:rPr>
            </w:pPr>
            <w:r w:rsidRPr="00C61699">
              <w:rPr>
                <w:rFonts w:ascii="Times New Roman" w:hAnsi="Times New Roman" w:cs="Times New Roman"/>
                <w:color w:val="000000" w:themeColor="text1"/>
              </w:rPr>
              <w:t>六、事業以減量額度扣</w:t>
            </w:r>
            <w:proofErr w:type="gramStart"/>
            <w:r w:rsidRPr="00C61699">
              <w:rPr>
                <w:rFonts w:ascii="Times New Roman" w:hAnsi="Times New Roman" w:cs="Times New Roman"/>
                <w:color w:val="000000" w:themeColor="text1"/>
              </w:rPr>
              <w:t>減碳費</w:t>
            </w:r>
            <w:proofErr w:type="gramEnd"/>
            <w:r w:rsidRPr="00C61699">
              <w:rPr>
                <w:rFonts w:ascii="Times New Roman" w:hAnsi="Times New Roman" w:cs="Times New Roman"/>
                <w:color w:val="000000" w:themeColor="text1"/>
              </w:rPr>
              <w:t>排放量，其減量額度來源及註銷核准之相關文件。</w:t>
            </w:r>
          </w:p>
          <w:p w14:paraId="44B27D41" w14:textId="26C58CE7" w:rsidR="00C8427A" w:rsidRPr="00C61699" w:rsidRDefault="00C8427A" w:rsidP="00C8427A">
            <w:pPr>
              <w:pStyle w:val="Default"/>
              <w:ind w:firstLineChars="126" w:firstLine="302"/>
              <w:jc w:val="both"/>
              <w:rPr>
                <w:rFonts w:ascii="Times New Roman" w:hAnsi="Times New Roman" w:cs="Times New Roman"/>
                <w:color w:val="000000" w:themeColor="text1"/>
              </w:rPr>
            </w:pPr>
            <w:r w:rsidRPr="00C61699">
              <w:rPr>
                <w:rFonts w:ascii="Times New Roman" w:hAnsi="Times New Roman" w:cs="Times New Roman"/>
                <w:color w:val="000000" w:themeColor="text1"/>
              </w:rPr>
              <w:t>七、其他經中央主管機關指定之文件。</w:t>
            </w:r>
          </w:p>
          <w:p w14:paraId="17AAEA34" w14:textId="02197C63" w:rsidR="00C8427A" w:rsidRPr="00C61699" w:rsidRDefault="00C8427A" w:rsidP="00C8427A">
            <w:pPr>
              <w:pStyle w:val="TableParagraph"/>
              <w:kinsoku w:val="0"/>
              <w:overflowPunct w:val="0"/>
              <w:spacing w:line="223" w:lineRule="auto"/>
              <w:ind w:leftChars="132" w:left="290" w:right="33" w:firstLineChars="184" w:firstLine="442"/>
              <w:rPr>
                <w:rFonts w:ascii="Times New Roman" w:cs="Times New Roman"/>
                <w:color w:val="000000" w:themeColor="text1"/>
                <w:spacing w:val="6"/>
              </w:rPr>
            </w:pPr>
            <w:r w:rsidRPr="00C61699">
              <w:rPr>
                <w:rFonts w:ascii="Times New Roman" w:cs="Times New Roman"/>
                <w:color w:val="000000" w:themeColor="text1"/>
              </w:rPr>
              <w:t>事業無法於十五日內提報前項相關資料者，得於期限屆滿前，向中央主管機關申請展延一次，展延期間不得超過十五日。</w:t>
            </w:r>
          </w:p>
        </w:tc>
        <w:tc>
          <w:tcPr>
            <w:tcW w:w="5245" w:type="dxa"/>
            <w:tcBorders>
              <w:top w:val="single" w:sz="4" w:space="0" w:color="000000"/>
              <w:left w:val="single" w:sz="4" w:space="0" w:color="000000"/>
              <w:bottom w:val="single" w:sz="4" w:space="0" w:color="000000"/>
              <w:right w:val="single" w:sz="4" w:space="0" w:color="000000"/>
            </w:tcBorders>
          </w:tcPr>
          <w:p w14:paraId="20421F20" w14:textId="1F8B8422" w:rsidR="00C8427A" w:rsidRPr="00C61699" w:rsidRDefault="00C8427A" w:rsidP="00C8427A">
            <w:pPr>
              <w:pStyle w:val="TableParagraph"/>
              <w:kinsoku w:val="0"/>
              <w:overflowPunct w:val="0"/>
              <w:spacing w:line="323" w:lineRule="exact"/>
              <w:ind w:leftChars="59" w:left="130" w:firstLineChars="297" w:firstLine="713"/>
              <w:jc w:val="left"/>
              <w:rPr>
                <w:rFonts w:ascii="Times New Roman"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23B0DE6D" w14:textId="319E4360" w:rsidR="005018DD" w:rsidRPr="00C61699" w:rsidRDefault="005018DD" w:rsidP="005018DD">
            <w:pPr>
              <w:tabs>
                <w:tab w:val="left" w:pos="825"/>
              </w:tabs>
              <w:ind w:left="280" w:hangingChars="100" w:hanging="280"/>
              <w:rPr>
                <w:rFonts w:ascii="Times New Roman" w:cs="Times New Roman"/>
                <w:color w:val="000000" w:themeColor="text1"/>
                <w:sz w:val="28"/>
                <w:szCs w:val="28"/>
              </w:rPr>
            </w:pPr>
          </w:p>
        </w:tc>
      </w:tr>
      <w:tr w:rsidR="00C61699" w:rsidRPr="00C61699" w14:paraId="46F3993F" w14:textId="77777777" w:rsidTr="00D62CC4">
        <w:trPr>
          <w:trHeight w:val="726"/>
        </w:trPr>
        <w:tc>
          <w:tcPr>
            <w:tcW w:w="5113" w:type="dxa"/>
            <w:tcBorders>
              <w:top w:val="single" w:sz="4" w:space="0" w:color="000000"/>
              <w:left w:val="single" w:sz="4" w:space="0" w:color="000000"/>
              <w:bottom w:val="single" w:sz="4" w:space="0" w:color="000000"/>
              <w:right w:val="single" w:sz="4" w:space="0" w:color="000000"/>
            </w:tcBorders>
          </w:tcPr>
          <w:p w14:paraId="2C8338E9" w14:textId="1CAE0B93" w:rsidR="00C940C8" w:rsidRPr="00C61699" w:rsidRDefault="00C940C8" w:rsidP="00C940C8">
            <w:pPr>
              <w:pStyle w:val="Default"/>
              <w:ind w:left="302" w:hangingChars="126" w:hanging="302"/>
              <w:jc w:val="both"/>
              <w:rPr>
                <w:rFonts w:ascii="Times New Roman" w:hAnsi="Times New Roman" w:cs="Times New Roman"/>
                <w:color w:val="000000" w:themeColor="text1"/>
              </w:rPr>
            </w:pPr>
            <w:r w:rsidRPr="00C61699">
              <w:rPr>
                <w:rFonts w:ascii="Times New Roman" w:hAnsi="Times New Roman" w:cs="Times New Roman" w:hint="eastAsia"/>
                <w:color w:val="000000" w:themeColor="text1"/>
              </w:rPr>
              <w:t>第十三條</w:t>
            </w:r>
            <w:r w:rsidRPr="00C61699">
              <w:rPr>
                <w:rFonts w:ascii="Times New Roman" w:hAnsi="Times New Roman" w:cs="Times New Roman" w:hint="eastAsia"/>
                <w:color w:val="000000" w:themeColor="text1"/>
              </w:rPr>
              <w:t xml:space="preserve"> </w:t>
            </w:r>
            <w:r w:rsidRPr="00C61699">
              <w:rPr>
                <w:rFonts w:ascii="Times New Roman" w:hAnsi="Times New Roman" w:cs="Times New Roman" w:hint="eastAsia"/>
                <w:color w:val="000000" w:themeColor="text1"/>
              </w:rPr>
              <w:t>事業依第四條規定</w:t>
            </w:r>
            <w:proofErr w:type="gramStart"/>
            <w:r w:rsidRPr="00C61699">
              <w:rPr>
                <w:rFonts w:ascii="Times New Roman" w:hAnsi="Times New Roman" w:cs="Times New Roman" w:hint="eastAsia"/>
                <w:color w:val="000000" w:themeColor="text1"/>
              </w:rPr>
              <w:t>繳納碳費</w:t>
            </w:r>
            <w:proofErr w:type="gramEnd"/>
            <w:r w:rsidRPr="00C61699">
              <w:rPr>
                <w:rFonts w:ascii="Times New Roman" w:hAnsi="Times New Roman" w:cs="Times New Roman" w:hint="eastAsia"/>
                <w:color w:val="000000" w:themeColor="text1"/>
              </w:rPr>
              <w:t>，經中央主管機關結算有溢繳且溢繳金額未達新台幣二千元者，應充作其後應繳納費額之一部分，不予退還。溢繳金額達新台幣二千元以上者，得向中央主管機關申請無息退還溢繳之費用。</w:t>
            </w:r>
          </w:p>
        </w:tc>
        <w:tc>
          <w:tcPr>
            <w:tcW w:w="5245" w:type="dxa"/>
            <w:tcBorders>
              <w:top w:val="single" w:sz="4" w:space="0" w:color="000000"/>
              <w:left w:val="single" w:sz="4" w:space="0" w:color="000000"/>
              <w:bottom w:val="single" w:sz="4" w:space="0" w:color="000000"/>
              <w:right w:val="single" w:sz="4" w:space="0" w:color="000000"/>
            </w:tcBorders>
          </w:tcPr>
          <w:p w14:paraId="412AFC44" w14:textId="77777777" w:rsidR="00C940C8" w:rsidRPr="00C61699" w:rsidRDefault="00C940C8" w:rsidP="00C8427A">
            <w:pPr>
              <w:ind w:left="103" w:hangingChars="43" w:hanging="103"/>
              <w:jc w:val="both"/>
              <w:rPr>
                <w:rFonts w:ascii="Times New Roman" w:cs="Times New Roman"/>
                <w:color w:val="000000" w:themeColor="text1"/>
                <w:sz w:val="24"/>
                <w:szCs w:val="24"/>
                <w:highlight w:val="yellow"/>
              </w:rPr>
            </w:pPr>
          </w:p>
        </w:tc>
        <w:tc>
          <w:tcPr>
            <w:tcW w:w="5103" w:type="dxa"/>
            <w:tcBorders>
              <w:top w:val="single" w:sz="4" w:space="0" w:color="000000"/>
              <w:left w:val="single" w:sz="4" w:space="0" w:color="000000"/>
              <w:bottom w:val="single" w:sz="4" w:space="0" w:color="000000"/>
              <w:right w:val="single" w:sz="4" w:space="0" w:color="000000"/>
            </w:tcBorders>
          </w:tcPr>
          <w:p w14:paraId="291C8A55" w14:textId="77777777" w:rsidR="00C940C8" w:rsidRPr="00C61699" w:rsidRDefault="00C940C8" w:rsidP="00C8427A">
            <w:pPr>
              <w:ind w:left="120" w:hangingChars="43" w:hanging="120"/>
              <w:jc w:val="both"/>
              <w:rPr>
                <w:rFonts w:ascii="Times New Roman" w:cs="Times New Roman"/>
                <w:color w:val="000000" w:themeColor="text1"/>
                <w:sz w:val="28"/>
                <w:szCs w:val="28"/>
                <w:highlight w:val="yellow"/>
              </w:rPr>
            </w:pPr>
          </w:p>
        </w:tc>
      </w:tr>
      <w:tr w:rsidR="00C61699" w:rsidRPr="00C61699" w14:paraId="42D51219" w14:textId="77777777" w:rsidTr="00D62CC4">
        <w:trPr>
          <w:trHeight w:val="726"/>
        </w:trPr>
        <w:tc>
          <w:tcPr>
            <w:tcW w:w="5113" w:type="dxa"/>
            <w:tcBorders>
              <w:top w:val="single" w:sz="4" w:space="0" w:color="000000"/>
              <w:left w:val="single" w:sz="4" w:space="0" w:color="000000"/>
              <w:bottom w:val="single" w:sz="4" w:space="0" w:color="000000"/>
              <w:right w:val="single" w:sz="4" w:space="0" w:color="000000"/>
            </w:tcBorders>
          </w:tcPr>
          <w:p w14:paraId="2DC201CB" w14:textId="76DE265A" w:rsidR="00C8427A" w:rsidRPr="00C61699" w:rsidRDefault="00C8427A" w:rsidP="00C8427A">
            <w:pPr>
              <w:pStyle w:val="Default"/>
              <w:ind w:left="302" w:hangingChars="126" w:hanging="302"/>
              <w:jc w:val="both"/>
              <w:rPr>
                <w:rFonts w:ascii="Times New Roman" w:hAnsi="Times New Roman" w:cs="Times New Roman"/>
                <w:color w:val="000000" w:themeColor="text1"/>
              </w:rPr>
            </w:pPr>
            <w:r w:rsidRPr="00C61699">
              <w:rPr>
                <w:rFonts w:ascii="Times New Roman" w:hAnsi="Times New Roman" w:cs="Times New Roman"/>
                <w:color w:val="000000" w:themeColor="text1"/>
              </w:rPr>
              <w:t>第十</w:t>
            </w:r>
            <w:r w:rsidR="00C940C8" w:rsidRPr="00C61699">
              <w:rPr>
                <w:rFonts w:ascii="Times New Roman" w:hAnsi="Times New Roman" w:cs="Times New Roman" w:hint="eastAsia"/>
                <w:color w:val="000000" w:themeColor="text1"/>
              </w:rPr>
              <w:t>四</w:t>
            </w:r>
            <w:r w:rsidRPr="00C61699">
              <w:rPr>
                <w:rFonts w:ascii="Times New Roman" w:hAnsi="Times New Roman" w:cs="Times New Roman"/>
                <w:color w:val="000000" w:themeColor="text1"/>
              </w:rPr>
              <w:t>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中央主管機關查核發現事業有未繳納或未足額</w:t>
            </w:r>
            <w:proofErr w:type="gramStart"/>
            <w:r w:rsidRPr="00C61699">
              <w:rPr>
                <w:rFonts w:ascii="Times New Roman" w:hAnsi="Times New Roman" w:cs="Times New Roman"/>
                <w:color w:val="000000" w:themeColor="text1"/>
              </w:rPr>
              <w:t>繳納碳費者</w:t>
            </w:r>
            <w:proofErr w:type="gramEnd"/>
            <w:r w:rsidRPr="00C61699">
              <w:rPr>
                <w:rFonts w:ascii="Times New Roman" w:hAnsi="Times New Roman" w:cs="Times New Roman"/>
                <w:color w:val="000000" w:themeColor="text1"/>
              </w:rPr>
              <w:t>，得</w:t>
            </w:r>
            <w:proofErr w:type="gramStart"/>
            <w:r w:rsidRPr="00C61699">
              <w:rPr>
                <w:rFonts w:ascii="Times New Roman" w:hAnsi="Times New Roman" w:cs="Times New Roman"/>
                <w:color w:val="000000" w:themeColor="text1"/>
              </w:rPr>
              <w:t>逕</w:t>
            </w:r>
            <w:proofErr w:type="gramEnd"/>
            <w:r w:rsidRPr="00C61699">
              <w:rPr>
                <w:rFonts w:ascii="Times New Roman" w:hAnsi="Times New Roman" w:cs="Times New Roman"/>
                <w:color w:val="000000" w:themeColor="text1"/>
              </w:rPr>
              <w:t>依其溫室氣體排放源之產品產量、原（物）料使用量、燃料使用量或其他有關資料</w:t>
            </w:r>
            <w:proofErr w:type="gramStart"/>
            <w:r w:rsidRPr="00C61699">
              <w:rPr>
                <w:rFonts w:ascii="Times New Roman" w:hAnsi="Times New Roman" w:cs="Times New Roman"/>
                <w:color w:val="000000" w:themeColor="text1"/>
              </w:rPr>
              <w:t>核算碳費差額</w:t>
            </w:r>
            <w:proofErr w:type="gramEnd"/>
            <w:r w:rsidRPr="00C61699">
              <w:rPr>
                <w:rFonts w:ascii="Times New Roman" w:hAnsi="Times New Roman" w:cs="Times New Roman"/>
                <w:color w:val="000000" w:themeColor="text1"/>
              </w:rPr>
              <w:t>，並限期於九十日內繳納，屆期未繳清者，依本法第六十條規定辦理。</w:t>
            </w:r>
          </w:p>
        </w:tc>
        <w:tc>
          <w:tcPr>
            <w:tcW w:w="5245" w:type="dxa"/>
            <w:tcBorders>
              <w:top w:val="single" w:sz="4" w:space="0" w:color="000000"/>
              <w:left w:val="single" w:sz="4" w:space="0" w:color="000000"/>
              <w:bottom w:val="single" w:sz="4" w:space="0" w:color="000000"/>
              <w:right w:val="single" w:sz="4" w:space="0" w:color="000000"/>
            </w:tcBorders>
          </w:tcPr>
          <w:p w14:paraId="06CB995F" w14:textId="55CC994C" w:rsidR="00C8427A" w:rsidRPr="00C61699" w:rsidRDefault="00C8427A" w:rsidP="00C8427A">
            <w:pPr>
              <w:pStyle w:val="TableParagraph"/>
              <w:kinsoku w:val="0"/>
              <w:overflowPunct w:val="0"/>
              <w:spacing w:line="323" w:lineRule="exact"/>
              <w:ind w:leftChars="62" w:left="136" w:firstLineChars="305" w:firstLine="732"/>
              <w:jc w:val="left"/>
              <w:rPr>
                <w:rFonts w:ascii="Times New Roman"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4BC79612" w14:textId="4658C00D" w:rsidR="00C8427A" w:rsidRPr="00C61699" w:rsidRDefault="00C8427A" w:rsidP="00250C2B">
            <w:pPr>
              <w:pStyle w:val="TableParagraph"/>
              <w:kinsoku w:val="0"/>
              <w:overflowPunct w:val="0"/>
              <w:spacing w:line="323" w:lineRule="exact"/>
              <w:ind w:leftChars="10" w:left="22"/>
              <w:jc w:val="left"/>
              <w:rPr>
                <w:rFonts w:ascii="Times New Roman" w:cs="Times New Roman"/>
                <w:color w:val="000000" w:themeColor="text1"/>
                <w:spacing w:val="-1"/>
                <w:sz w:val="28"/>
                <w:szCs w:val="28"/>
              </w:rPr>
            </w:pPr>
          </w:p>
        </w:tc>
      </w:tr>
      <w:tr w:rsidR="00C61699" w:rsidRPr="00C61699" w14:paraId="15634F8B" w14:textId="77777777" w:rsidTr="00D62CC4">
        <w:trPr>
          <w:trHeight w:val="1055"/>
        </w:trPr>
        <w:tc>
          <w:tcPr>
            <w:tcW w:w="5113" w:type="dxa"/>
            <w:tcBorders>
              <w:top w:val="single" w:sz="4" w:space="0" w:color="000000"/>
              <w:left w:val="single" w:sz="4" w:space="0" w:color="000000"/>
              <w:bottom w:val="single" w:sz="4" w:space="0" w:color="000000"/>
              <w:right w:val="single" w:sz="4" w:space="0" w:color="000000"/>
            </w:tcBorders>
          </w:tcPr>
          <w:p w14:paraId="14713E7B" w14:textId="11DE54D2" w:rsidR="00C8427A" w:rsidRPr="00C61699" w:rsidRDefault="00C8427A" w:rsidP="00C8427A">
            <w:pPr>
              <w:pStyle w:val="Default"/>
              <w:ind w:left="302" w:hangingChars="126" w:hanging="302"/>
              <w:rPr>
                <w:rFonts w:ascii="Times New Roman" w:hAnsi="Times New Roman" w:cs="Times New Roman"/>
                <w:color w:val="000000" w:themeColor="text1"/>
              </w:rPr>
            </w:pPr>
            <w:r w:rsidRPr="00C61699">
              <w:rPr>
                <w:rFonts w:ascii="Times New Roman" w:hAnsi="Times New Roman" w:cs="Times New Roman"/>
                <w:color w:val="000000" w:themeColor="text1"/>
              </w:rPr>
              <w:t>第十</w:t>
            </w:r>
            <w:r w:rsidR="00C940C8" w:rsidRPr="00C61699">
              <w:rPr>
                <w:rFonts w:ascii="Times New Roman" w:hAnsi="Times New Roman" w:cs="Times New Roman" w:hint="eastAsia"/>
                <w:color w:val="000000" w:themeColor="text1"/>
              </w:rPr>
              <w:t>五</w:t>
            </w:r>
            <w:r w:rsidRPr="00C61699">
              <w:rPr>
                <w:rFonts w:ascii="Times New Roman" w:hAnsi="Times New Roman" w:cs="Times New Roman"/>
                <w:color w:val="000000" w:themeColor="text1"/>
              </w:rPr>
              <w:t>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事業有下列情形之</w:t>
            </w:r>
            <w:proofErr w:type="gramStart"/>
            <w:r w:rsidRPr="00C61699">
              <w:rPr>
                <w:rFonts w:ascii="Times New Roman" w:hAnsi="Times New Roman" w:cs="Times New Roman"/>
                <w:color w:val="000000" w:themeColor="text1"/>
              </w:rPr>
              <w:t>一</w:t>
            </w:r>
            <w:proofErr w:type="gramEnd"/>
            <w:r w:rsidRPr="00C61699">
              <w:rPr>
                <w:rFonts w:ascii="Times New Roman" w:hAnsi="Times New Roman" w:cs="Times New Roman"/>
                <w:color w:val="000000" w:themeColor="text1"/>
              </w:rPr>
              <w:t>者，中央主管機關應</w:t>
            </w:r>
            <w:r w:rsidR="00C940C8" w:rsidRPr="00C61699">
              <w:rPr>
                <w:rFonts w:ascii="Times New Roman" w:hAnsi="Times New Roman" w:cs="Times New Roman" w:hint="eastAsia"/>
                <w:color w:val="000000" w:themeColor="text1"/>
              </w:rPr>
              <w:t>令事業於九十日內繳清</w:t>
            </w:r>
            <w:r w:rsidRPr="00C61699">
              <w:rPr>
                <w:rFonts w:ascii="Times New Roman" w:hAnsi="Times New Roman" w:cs="Times New Roman"/>
                <w:color w:val="000000" w:themeColor="text1"/>
              </w:rPr>
              <w:t>其應繳納</w:t>
            </w:r>
            <w:proofErr w:type="gramStart"/>
            <w:r w:rsidRPr="00C61699">
              <w:rPr>
                <w:rFonts w:ascii="Times New Roman" w:hAnsi="Times New Roman" w:cs="Times New Roman"/>
                <w:color w:val="000000" w:themeColor="text1"/>
              </w:rPr>
              <w:t>之碳費</w:t>
            </w:r>
            <w:proofErr w:type="gramEnd"/>
            <w:r w:rsidRPr="00C61699">
              <w:rPr>
                <w:rFonts w:ascii="Times New Roman" w:hAnsi="Times New Roman" w:cs="Times New Roman"/>
                <w:color w:val="000000" w:themeColor="text1"/>
              </w:rPr>
              <w:t>，屆期未繳清者，</w:t>
            </w:r>
            <w:proofErr w:type="gramStart"/>
            <w:r w:rsidRPr="00C61699">
              <w:rPr>
                <w:rFonts w:ascii="Times New Roman" w:hAnsi="Times New Roman" w:cs="Times New Roman"/>
                <w:color w:val="000000" w:themeColor="text1"/>
              </w:rPr>
              <w:t>逕</w:t>
            </w:r>
            <w:proofErr w:type="gramEnd"/>
            <w:r w:rsidRPr="00C61699">
              <w:rPr>
                <w:rFonts w:ascii="Times New Roman" w:hAnsi="Times New Roman" w:cs="Times New Roman"/>
                <w:color w:val="000000" w:themeColor="text1"/>
              </w:rPr>
              <w:t>依本法第六十條規定辦理：</w:t>
            </w:r>
          </w:p>
          <w:p w14:paraId="5776C3F5" w14:textId="1968B72F" w:rsidR="00C8427A" w:rsidRPr="00C61699" w:rsidRDefault="00C8427A" w:rsidP="00C8427A">
            <w:pPr>
              <w:pStyle w:val="Default"/>
              <w:ind w:leftChars="132" w:left="734" w:hangingChars="185" w:hanging="444"/>
              <w:rPr>
                <w:rFonts w:ascii="Times New Roman" w:hAnsi="Times New Roman" w:cs="Times New Roman"/>
                <w:color w:val="000000" w:themeColor="text1"/>
              </w:rPr>
            </w:pPr>
            <w:r w:rsidRPr="00C61699">
              <w:rPr>
                <w:rFonts w:ascii="Times New Roman" w:hAnsi="Times New Roman" w:cs="Times New Roman"/>
                <w:color w:val="000000" w:themeColor="text1"/>
              </w:rPr>
              <w:t>一、事業執行自主減量計畫，經中央主管機關查核未達指定目標。</w:t>
            </w:r>
          </w:p>
          <w:p w14:paraId="02486E97" w14:textId="61485712" w:rsidR="00C8427A" w:rsidRPr="00C61699" w:rsidRDefault="00C8427A" w:rsidP="00C8427A">
            <w:pPr>
              <w:pStyle w:val="Default"/>
              <w:ind w:firstLineChars="126" w:firstLine="302"/>
              <w:rPr>
                <w:rFonts w:ascii="Times New Roman" w:hAnsi="Times New Roman" w:cs="Times New Roman"/>
                <w:color w:val="000000" w:themeColor="text1"/>
              </w:rPr>
            </w:pPr>
            <w:r w:rsidRPr="00C61699">
              <w:rPr>
                <w:rFonts w:ascii="Times New Roman" w:hAnsi="Times New Roman" w:cs="Times New Roman"/>
                <w:color w:val="000000" w:themeColor="text1"/>
              </w:rPr>
              <w:t>二、自主減量計畫經中央主管機關廢止。</w:t>
            </w:r>
          </w:p>
          <w:p w14:paraId="2FC74F81" w14:textId="77777777" w:rsidR="00C8427A" w:rsidRPr="00C61699" w:rsidRDefault="00C8427A" w:rsidP="00C8427A">
            <w:pPr>
              <w:pStyle w:val="Default"/>
              <w:ind w:leftChars="132" w:left="734" w:hangingChars="185" w:hanging="444"/>
              <w:rPr>
                <w:rFonts w:ascii="Times New Roman" w:hAnsi="Times New Roman" w:cs="Times New Roman"/>
                <w:color w:val="000000" w:themeColor="text1"/>
              </w:rPr>
            </w:pPr>
            <w:r w:rsidRPr="00C61699">
              <w:rPr>
                <w:rFonts w:ascii="Times New Roman" w:hAnsi="Times New Roman" w:cs="Times New Roman"/>
                <w:color w:val="000000" w:themeColor="text1"/>
              </w:rPr>
              <w:lastRenderedPageBreak/>
              <w:t>三、事業以減量額度扣除第五條之排放量，其核發之減量額度經中央主管機關廢止</w:t>
            </w:r>
            <w:r w:rsidRPr="00C61699">
              <w:rPr>
                <w:rFonts w:ascii="Times New Roman" w:hAnsi="Times New Roman" w:cs="Times New Roman"/>
                <w:strike/>
                <w:color w:val="000000" w:themeColor="text1"/>
              </w:rPr>
              <w:t>者</w:t>
            </w:r>
            <w:r w:rsidRPr="00C61699">
              <w:rPr>
                <w:rFonts w:ascii="Times New Roman" w:hAnsi="Times New Roman" w:cs="Times New Roman"/>
                <w:color w:val="000000" w:themeColor="text1"/>
              </w:rPr>
              <w:t>。</w:t>
            </w:r>
          </w:p>
          <w:p w14:paraId="0C41C7A2" w14:textId="77777777" w:rsidR="00C8427A" w:rsidRPr="00C61699" w:rsidRDefault="00C8427A" w:rsidP="00C8427A">
            <w:pPr>
              <w:pStyle w:val="Default"/>
              <w:ind w:leftChars="132" w:left="734" w:hangingChars="185" w:hanging="444"/>
              <w:rPr>
                <w:rFonts w:ascii="Times New Roman" w:hAnsi="Times New Roman" w:cs="Times New Roman"/>
                <w:color w:val="000000" w:themeColor="text1"/>
              </w:rPr>
            </w:pPr>
            <w:r w:rsidRPr="00C61699">
              <w:rPr>
                <w:rFonts w:ascii="Times New Roman" w:hAnsi="Times New Roman" w:cs="Times New Roman"/>
                <w:color w:val="000000" w:themeColor="text1"/>
              </w:rPr>
              <w:t>四、經審查認定屬高碳洩漏風險之事業，因行業別、設備之更換或擴增、製程、原（物）料、燃料或產品之改變，致非屬高碳洩漏風險之事業。</w:t>
            </w:r>
          </w:p>
          <w:p w14:paraId="02487FF6" w14:textId="45B12114" w:rsidR="00C8427A" w:rsidRPr="00C61699" w:rsidRDefault="00C8427A" w:rsidP="00C8427A">
            <w:pPr>
              <w:pStyle w:val="Default"/>
              <w:ind w:firstLineChars="126" w:firstLine="302"/>
              <w:rPr>
                <w:rFonts w:ascii="Times New Roman" w:hAnsi="Times New Roman" w:cs="Times New Roman"/>
                <w:color w:val="000000" w:themeColor="text1"/>
              </w:rPr>
            </w:pPr>
            <w:r w:rsidRPr="00C61699">
              <w:rPr>
                <w:rFonts w:ascii="Times New Roman" w:hAnsi="Times New Roman" w:cs="Times New Roman"/>
                <w:color w:val="000000" w:themeColor="text1"/>
              </w:rPr>
              <w:t>五、其他經中央主管機關認定之情形。</w:t>
            </w:r>
          </w:p>
        </w:tc>
        <w:tc>
          <w:tcPr>
            <w:tcW w:w="5245" w:type="dxa"/>
            <w:tcBorders>
              <w:top w:val="single" w:sz="4" w:space="0" w:color="000000"/>
              <w:left w:val="single" w:sz="4" w:space="0" w:color="000000"/>
              <w:bottom w:val="single" w:sz="4" w:space="0" w:color="000000"/>
              <w:right w:val="single" w:sz="4" w:space="0" w:color="000000"/>
            </w:tcBorders>
          </w:tcPr>
          <w:p w14:paraId="6B793D68" w14:textId="21678B5A" w:rsidR="00C8427A" w:rsidRPr="00C61699" w:rsidRDefault="00C8427A" w:rsidP="00C8427A">
            <w:pPr>
              <w:adjustRightInd/>
              <w:spacing w:before="11" w:line="276" w:lineRule="auto"/>
              <w:ind w:right="55"/>
              <w:rPr>
                <w:rFonts w:ascii="Times New Roman" w:cs="Times New Roman"/>
                <w:color w:val="000000" w:themeColor="text1"/>
                <w:spacing w:val="-1"/>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2535A0B7" w14:textId="2521EC00" w:rsidR="005018DD" w:rsidRPr="00C61699" w:rsidRDefault="005018DD" w:rsidP="00CF2398">
            <w:pPr>
              <w:pStyle w:val="TableParagraph"/>
              <w:kinsoku w:val="0"/>
              <w:overflowPunct w:val="0"/>
              <w:spacing w:line="323" w:lineRule="exact"/>
              <w:ind w:leftChars="10" w:left="232" w:hangingChars="75" w:hanging="210"/>
              <w:rPr>
                <w:rFonts w:ascii="Times New Roman"/>
                <w:color w:val="000000" w:themeColor="text1"/>
                <w:sz w:val="28"/>
                <w:szCs w:val="28"/>
                <w:highlight w:val="yellow"/>
              </w:rPr>
            </w:pPr>
          </w:p>
        </w:tc>
      </w:tr>
      <w:tr w:rsidR="00C61699" w:rsidRPr="00C61699" w14:paraId="3DFBA5F8" w14:textId="77777777" w:rsidTr="00D62CC4">
        <w:trPr>
          <w:trHeight w:val="505"/>
        </w:trPr>
        <w:tc>
          <w:tcPr>
            <w:tcW w:w="5113" w:type="dxa"/>
            <w:tcBorders>
              <w:top w:val="single" w:sz="4" w:space="0" w:color="000000"/>
              <w:left w:val="single" w:sz="4" w:space="0" w:color="000000"/>
              <w:bottom w:val="single" w:sz="4" w:space="0" w:color="000000"/>
              <w:right w:val="single" w:sz="4" w:space="0" w:color="000000"/>
            </w:tcBorders>
          </w:tcPr>
          <w:p w14:paraId="0C457B47" w14:textId="2F4134F1" w:rsidR="00C8427A" w:rsidRPr="00C61699" w:rsidRDefault="00C8427A" w:rsidP="00C8427A">
            <w:pPr>
              <w:pStyle w:val="Default"/>
              <w:ind w:left="302" w:hangingChars="126" w:hanging="302"/>
              <w:rPr>
                <w:rFonts w:ascii="Times New Roman" w:hAnsi="Times New Roman" w:cs="Times New Roman"/>
                <w:color w:val="000000" w:themeColor="text1"/>
              </w:rPr>
            </w:pPr>
            <w:r w:rsidRPr="00C61699">
              <w:rPr>
                <w:rFonts w:ascii="Times New Roman" w:hAnsi="Times New Roman" w:cs="Times New Roman"/>
                <w:color w:val="000000" w:themeColor="text1"/>
              </w:rPr>
              <w:t>第十六條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經中央主管機關</w:t>
            </w:r>
            <w:r w:rsidR="0056743A" w:rsidRPr="00C61699">
              <w:rPr>
                <w:rFonts w:ascii="Times New Roman" w:hAnsi="Times New Roman" w:cs="Times New Roman" w:hint="eastAsia"/>
                <w:color w:val="000000" w:themeColor="text1"/>
              </w:rPr>
              <w:t>依前條規定</w:t>
            </w:r>
            <w:r w:rsidRPr="00C61699">
              <w:rPr>
                <w:rFonts w:ascii="Times New Roman" w:hAnsi="Times New Roman" w:cs="Times New Roman"/>
                <w:color w:val="000000" w:themeColor="text1"/>
              </w:rPr>
              <w:t>通知限期繳清差額之事業，有下列原因之</w:t>
            </w:r>
            <w:proofErr w:type="gramStart"/>
            <w:r w:rsidRPr="00C61699">
              <w:rPr>
                <w:rFonts w:ascii="Times New Roman" w:hAnsi="Times New Roman" w:cs="Times New Roman"/>
                <w:color w:val="000000" w:themeColor="text1"/>
              </w:rPr>
              <w:t>一</w:t>
            </w:r>
            <w:proofErr w:type="gramEnd"/>
            <w:r w:rsidRPr="00C61699">
              <w:rPr>
                <w:rFonts w:ascii="Times New Roman" w:hAnsi="Times New Roman" w:cs="Times New Roman"/>
                <w:color w:val="000000" w:themeColor="text1"/>
              </w:rPr>
              <w:t>無法於期限前一次</w:t>
            </w:r>
            <w:proofErr w:type="gramStart"/>
            <w:r w:rsidRPr="00C61699">
              <w:rPr>
                <w:rFonts w:ascii="Times New Roman" w:hAnsi="Times New Roman" w:cs="Times New Roman"/>
                <w:color w:val="000000" w:themeColor="text1"/>
              </w:rPr>
              <w:t>補繳加徵</w:t>
            </w:r>
            <w:proofErr w:type="gramEnd"/>
            <w:r w:rsidRPr="00C61699">
              <w:rPr>
                <w:rFonts w:ascii="Times New Roman" w:hAnsi="Times New Roman" w:cs="Times New Roman"/>
                <w:color w:val="000000" w:themeColor="text1"/>
              </w:rPr>
              <w:t>之差額者，得於期限前檢附相關證明文件，向中央主管機關申請分期繳納：</w:t>
            </w:r>
          </w:p>
          <w:p w14:paraId="34506474" w14:textId="3B72D379" w:rsidR="00C8427A" w:rsidRPr="00C61699" w:rsidRDefault="00C8427A" w:rsidP="00C8427A">
            <w:pPr>
              <w:pStyle w:val="Default"/>
              <w:ind w:leftChars="132" w:left="734" w:hangingChars="185" w:hanging="444"/>
              <w:rPr>
                <w:rFonts w:ascii="Times New Roman" w:hAnsi="Times New Roman" w:cs="Times New Roman"/>
                <w:color w:val="000000" w:themeColor="text1"/>
              </w:rPr>
            </w:pPr>
            <w:r w:rsidRPr="00C61699">
              <w:rPr>
                <w:rFonts w:ascii="Times New Roman" w:hAnsi="Times New Roman" w:cs="Times New Roman"/>
                <w:color w:val="000000" w:themeColor="text1"/>
              </w:rPr>
              <w:t>一、因天災、</w:t>
            </w:r>
            <w:proofErr w:type="gramStart"/>
            <w:r w:rsidRPr="00C61699">
              <w:rPr>
                <w:rFonts w:ascii="Times New Roman" w:hAnsi="Times New Roman" w:cs="Times New Roman"/>
                <w:color w:val="000000" w:themeColor="text1"/>
              </w:rPr>
              <w:t>疫情或</w:t>
            </w:r>
            <w:proofErr w:type="gramEnd"/>
            <w:r w:rsidRPr="00C61699">
              <w:rPr>
                <w:rFonts w:ascii="Times New Roman" w:hAnsi="Times New Roman" w:cs="Times New Roman"/>
                <w:color w:val="000000" w:themeColor="text1"/>
              </w:rPr>
              <w:t>其他不可歸責之事由，致遭受重大財產損失。</w:t>
            </w:r>
          </w:p>
          <w:p w14:paraId="7A91E579" w14:textId="0D8A0779" w:rsidR="00C8427A" w:rsidRPr="00C61699" w:rsidRDefault="00C8427A" w:rsidP="00C8427A">
            <w:pPr>
              <w:pStyle w:val="Default"/>
              <w:ind w:leftChars="132" w:left="734" w:hangingChars="185" w:hanging="444"/>
              <w:rPr>
                <w:rFonts w:ascii="Times New Roman" w:hAnsi="Times New Roman" w:cs="Times New Roman"/>
                <w:color w:val="000000" w:themeColor="text1"/>
              </w:rPr>
            </w:pPr>
            <w:r w:rsidRPr="00C61699">
              <w:rPr>
                <w:rFonts w:ascii="Times New Roman" w:hAnsi="Times New Roman" w:cs="Times New Roman"/>
                <w:color w:val="000000" w:themeColor="text1"/>
              </w:rPr>
              <w:t>二、經主管機關查核，應</w:t>
            </w:r>
            <w:proofErr w:type="gramStart"/>
            <w:r w:rsidRPr="00C61699">
              <w:rPr>
                <w:rFonts w:ascii="Times New Roman" w:hAnsi="Times New Roman" w:cs="Times New Roman"/>
                <w:color w:val="000000" w:themeColor="text1"/>
              </w:rPr>
              <w:t>補繳加徵</w:t>
            </w:r>
            <w:proofErr w:type="gramEnd"/>
            <w:r w:rsidRPr="00C61699">
              <w:rPr>
                <w:rFonts w:ascii="Times New Roman" w:hAnsi="Times New Roman" w:cs="Times New Roman"/>
                <w:color w:val="000000" w:themeColor="text1"/>
              </w:rPr>
              <w:t>之差額達新臺幣五百萬元以上。</w:t>
            </w:r>
          </w:p>
          <w:p w14:paraId="73B11901" w14:textId="0F52A0F6" w:rsidR="00C8427A" w:rsidRPr="00C61699" w:rsidRDefault="00C8427A" w:rsidP="0056743A">
            <w:pPr>
              <w:adjustRightInd/>
              <w:spacing w:before="49" w:line="276" w:lineRule="auto"/>
              <w:ind w:left="291" w:right="96" w:firstLine="425"/>
              <w:jc w:val="both"/>
              <w:rPr>
                <w:rFonts w:ascii="Times New Roman" w:cs="Times New Roman"/>
                <w:color w:val="000000" w:themeColor="text1"/>
                <w:sz w:val="24"/>
                <w:szCs w:val="24"/>
              </w:rPr>
            </w:pPr>
            <w:r w:rsidRPr="00C61699">
              <w:rPr>
                <w:rFonts w:ascii="Times New Roman" w:cs="Times New Roman"/>
                <w:color w:val="000000" w:themeColor="text1"/>
                <w:sz w:val="24"/>
                <w:szCs w:val="24"/>
              </w:rPr>
              <w:t>經核准分期繳納者，應自通知限期繳納屆滿之次日起，至最後一期繳納之日止，依原訂限期繳納期限屆滿當日郵政儲金一年期定期存款固定利率按日加計利息，一併繳納，並應一次將各期應繳金額預開票據函送中央主管機關；有任何</w:t>
            </w:r>
            <w:proofErr w:type="gramStart"/>
            <w:r w:rsidRPr="00C61699">
              <w:rPr>
                <w:rFonts w:ascii="Times New Roman" w:cs="Times New Roman"/>
                <w:color w:val="000000" w:themeColor="text1"/>
                <w:sz w:val="24"/>
                <w:szCs w:val="24"/>
              </w:rPr>
              <w:t>一</w:t>
            </w:r>
            <w:proofErr w:type="gramEnd"/>
            <w:r w:rsidRPr="00C61699">
              <w:rPr>
                <w:rFonts w:ascii="Times New Roman" w:cs="Times New Roman"/>
                <w:color w:val="000000" w:themeColor="text1"/>
                <w:sz w:val="24"/>
                <w:szCs w:val="24"/>
              </w:rPr>
              <w:t>期票據未獲付款者，中央主管機關得</w:t>
            </w:r>
            <w:proofErr w:type="gramStart"/>
            <w:r w:rsidRPr="00C61699">
              <w:rPr>
                <w:rFonts w:ascii="Times New Roman" w:cs="Times New Roman"/>
                <w:color w:val="000000" w:themeColor="text1"/>
                <w:sz w:val="24"/>
                <w:szCs w:val="24"/>
              </w:rPr>
              <w:t>逕</w:t>
            </w:r>
            <w:proofErr w:type="gramEnd"/>
            <w:r w:rsidRPr="00C61699">
              <w:rPr>
                <w:rFonts w:ascii="Times New Roman" w:cs="Times New Roman"/>
                <w:color w:val="000000" w:themeColor="text1"/>
                <w:sz w:val="24"/>
                <w:szCs w:val="24"/>
              </w:rPr>
              <w:t>依本法第六十條規定辦理。</w:t>
            </w:r>
          </w:p>
        </w:tc>
        <w:tc>
          <w:tcPr>
            <w:tcW w:w="5245" w:type="dxa"/>
            <w:tcBorders>
              <w:top w:val="single" w:sz="4" w:space="0" w:color="000000"/>
              <w:left w:val="single" w:sz="4" w:space="0" w:color="000000"/>
              <w:bottom w:val="single" w:sz="4" w:space="0" w:color="000000"/>
              <w:right w:val="single" w:sz="4" w:space="0" w:color="000000"/>
            </w:tcBorders>
          </w:tcPr>
          <w:p w14:paraId="20370E2E"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rPr>
            </w:pPr>
          </w:p>
        </w:tc>
        <w:tc>
          <w:tcPr>
            <w:tcW w:w="5103" w:type="dxa"/>
            <w:tcBorders>
              <w:top w:val="single" w:sz="4" w:space="0" w:color="000000"/>
              <w:left w:val="single" w:sz="4" w:space="0" w:color="000000"/>
              <w:bottom w:val="single" w:sz="4" w:space="0" w:color="000000"/>
              <w:right w:val="single" w:sz="4" w:space="0" w:color="000000"/>
            </w:tcBorders>
          </w:tcPr>
          <w:p w14:paraId="7B27B946"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sz w:val="28"/>
                <w:szCs w:val="28"/>
              </w:rPr>
            </w:pPr>
          </w:p>
        </w:tc>
      </w:tr>
      <w:tr w:rsidR="00C61699" w:rsidRPr="00C61699" w14:paraId="2F6C4A70" w14:textId="77777777" w:rsidTr="00D62CC4">
        <w:trPr>
          <w:trHeight w:val="505"/>
        </w:trPr>
        <w:tc>
          <w:tcPr>
            <w:tcW w:w="5113" w:type="dxa"/>
            <w:tcBorders>
              <w:top w:val="single" w:sz="4" w:space="0" w:color="000000"/>
              <w:left w:val="single" w:sz="4" w:space="0" w:color="000000"/>
              <w:bottom w:val="single" w:sz="4" w:space="0" w:color="000000"/>
              <w:right w:val="single" w:sz="4" w:space="0" w:color="000000"/>
            </w:tcBorders>
          </w:tcPr>
          <w:p w14:paraId="5A894CCE" w14:textId="2AFE8D9C" w:rsidR="00C8427A" w:rsidRPr="00C61699" w:rsidRDefault="00C8427A" w:rsidP="00C8427A">
            <w:pPr>
              <w:pStyle w:val="Default"/>
              <w:ind w:left="302" w:hangingChars="126" w:hanging="302"/>
              <w:rPr>
                <w:rFonts w:ascii="Times New Roman" w:hAnsi="Times New Roman" w:cs="Times New Roman"/>
                <w:color w:val="000000" w:themeColor="text1"/>
              </w:rPr>
            </w:pPr>
            <w:r w:rsidRPr="00C61699">
              <w:rPr>
                <w:rFonts w:ascii="Times New Roman" w:hAnsi="Times New Roman" w:cs="Times New Roman"/>
                <w:color w:val="000000" w:themeColor="text1"/>
              </w:rPr>
              <w:t>第十七條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事業依前條規定申請分期繳納碳費時，其申請之文件不合規定或內容有欠缺者，中央主管機關應通知其限期於七日內補正，屆期未補正者，駁回其申請。</w:t>
            </w:r>
          </w:p>
          <w:p w14:paraId="6054525A" w14:textId="77777777" w:rsidR="00C8427A" w:rsidRPr="00C61699" w:rsidRDefault="00C8427A" w:rsidP="0056743A">
            <w:pPr>
              <w:adjustRightInd/>
              <w:spacing w:before="49" w:line="276" w:lineRule="auto"/>
              <w:ind w:left="291" w:right="96" w:firstLine="425"/>
              <w:jc w:val="both"/>
              <w:rPr>
                <w:rFonts w:ascii="Times New Roman" w:cs="Times New Roman"/>
                <w:color w:val="000000" w:themeColor="text1"/>
                <w:sz w:val="24"/>
                <w:szCs w:val="24"/>
              </w:rPr>
            </w:pPr>
            <w:r w:rsidRPr="00C61699">
              <w:rPr>
                <w:rFonts w:ascii="Times New Roman" w:cs="Times New Roman"/>
                <w:color w:val="000000" w:themeColor="text1"/>
                <w:sz w:val="24"/>
                <w:szCs w:val="24"/>
              </w:rPr>
              <w:t>中央主管機關得依下列標準核准每期應</w:t>
            </w:r>
            <w:r w:rsidRPr="00C61699">
              <w:rPr>
                <w:rFonts w:ascii="Times New Roman" w:cs="Times New Roman"/>
                <w:color w:val="000000" w:themeColor="text1"/>
                <w:sz w:val="24"/>
                <w:szCs w:val="24"/>
              </w:rPr>
              <w:lastRenderedPageBreak/>
              <w:t>繳納金額及期數：</w:t>
            </w:r>
          </w:p>
          <w:p w14:paraId="1DE82688" w14:textId="7D30E885" w:rsidR="00C8427A" w:rsidRPr="00C61699" w:rsidRDefault="00C8427A" w:rsidP="0056743A">
            <w:pPr>
              <w:pStyle w:val="Default"/>
              <w:ind w:leftChars="196" w:left="877" w:hangingChars="186" w:hanging="446"/>
              <w:jc w:val="both"/>
              <w:rPr>
                <w:rFonts w:ascii="Times New Roman" w:hAnsi="Times New Roman" w:cs="Times New Roman"/>
                <w:color w:val="000000" w:themeColor="text1"/>
              </w:rPr>
            </w:pPr>
            <w:r w:rsidRPr="00C61699">
              <w:rPr>
                <w:rFonts w:ascii="Times New Roman" w:hAnsi="Times New Roman" w:cs="Times New Roman"/>
                <w:color w:val="000000" w:themeColor="text1"/>
              </w:rPr>
              <w:t>一、補繳差額未滿新臺幣一千萬元之案件，得分二至六期繳納，每期繳納金額不得低於</w:t>
            </w:r>
            <w:proofErr w:type="gramStart"/>
            <w:r w:rsidRPr="00C61699">
              <w:rPr>
                <w:rFonts w:ascii="Times New Roman" w:hAnsi="Times New Roman" w:cs="Times New Roman"/>
                <w:color w:val="000000" w:themeColor="text1"/>
              </w:rPr>
              <w:t>一</w:t>
            </w:r>
            <w:proofErr w:type="gramEnd"/>
            <w:r w:rsidRPr="00C61699">
              <w:rPr>
                <w:rFonts w:ascii="Times New Roman" w:hAnsi="Times New Roman" w:cs="Times New Roman"/>
                <w:color w:val="000000" w:themeColor="text1"/>
              </w:rPr>
              <w:t>百萬</w:t>
            </w:r>
            <w:r w:rsidR="00FF7A2C" w:rsidRPr="00C61699">
              <w:rPr>
                <w:rFonts w:ascii="Times New Roman" w:hAnsi="Times New Roman" w:cs="Times New Roman" w:hint="eastAsia"/>
                <w:color w:val="000000" w:themeColor="text1"/>
              </w:rPr>
              <w:t>元</w:t>
            </w:r>
            <w:r w:rsidRPr="00C61699">
              <w:rPr>
                <w:rFonts w:ascii="Times New Roman" w:hAnsi="Times New Roman" w:cs="Times New Roman"/>
                <w:color w:val="000000" w:themeColor="text1"/>
              </w:rPr>
              <w:t>。</w:t>
            </w:r>
          </w:p>
          <w:p w14:paraId="6E1AEF18" w14:textId="5CE94A94" w:rsidR="00C8427A" w:rsidRPr="00C61699" w:rsidRDefault="00C8427A" w:rsidP="0056743A">
            <w:pPr>
              <w:pStyle w:val="Default"/>
              <w:ind w:leftChars="196" w:left="877" w:hangingChars="186" w:hanging="446"/>
              <w:jc w:val="both"/>
              <w:rPr>
                <w:rFonts w:ascii="Times New Roman" w:hAnsi="Times New Roman" w:cs="Times New Roman"/>
                <w:color w:val="000000" w:themeColor="text1"/>
              </w:rPr>
            </w:pPr>
            <w:r w:rsidRPr="00C61699">
              <w:rPr>
                <w:rFonts w:ascii="Times New Roman" w:hAnsi="Times New Roman" w:cs="Times New Roman"/>
                <w:color w:val="000000" w:themeColor="text1"/>
              </w:rPr>
              <w:t>二、補繳差額在新臺幣一千萬元以上，未滿新臺幣五千萬元之案件，得分二至十二期繳納，每期繳納金額不得低於二百萬</w:t>
            </w:r>
            <w:r w:rsidR="00FF7A2C" w:rsidRPr="00C61699">
              <w:rPr>
                <w:rFonts w:ascii="Times New Roman" w:hAnsi="Times New Roman" w:cs="Times New Roman" w:hint="eastAsia"/>
                <w:color w:val="000000" w:themeColor="text1"/>
              </w:rPr>
              <w:t>元</w:t>
            </w:r>
            <w:r w:rsidRPr="00C61699">
              <w:rPr>
                <w:rFonts w:ascii="Times New Roman" w:hAnsi="Times New Roman" w:cs="Times New Roman"/>
                <w:color w:val="000000" w:themeColor="text1"/>
              </w:rPr>
              <w:t>。</w:t>
            </w:r>
          </w:p>
          <w:p w14:paraId="1A5354B2" w14:textId="4F32FCA5" w:rsidR="00C8427A" w:rsidRPr="00C61699" w:rsidRDefault="00C8427A" w:rsidP="0056743A">
            <w:pPr>
              <w:pStyle w:val="Default"/>
              <w:ind w:leftChars="196" w:left="877" w:hangingChars="186" w:hanging="446"/>
              <w:jc w:val="both"/>
              <w:rPr>
                <w:rFonts w:ascii="Times New Roman" w:hAnsi="Times New Roman" w:cs="Times New Roman"/>
                <w:color w:val="000000" w:themeColor="text1"/>
              </w:rPr>
            </w:pPr>
            <w:r w:rsidRPr="00C61699">
              <w:rPr>
                <w:rFonts w:ascii="Times New Roman" w:hAnsi="Times New Roman" w:cs="Times New Roman"/>
                <w:color w:val="000000" w:themeColor="text1"/>
              </w:rPr>
              <w:t>三、補繳差額在新臺幣五千萬元以上之案件，得分二至二十四期繳納，每期繳納金額不得低於</w:t>
            </w:r>
            <w:proofErr w:type="gramStart"/>
            <w:r w:rsidRPr="00C61699">
              <w:rPr>
                <w:rFonts w:ascii="Times New Roman" w:hAnsi="Times New Roman" w:cs="Times New Roman"/>
                <w:color w:val="000000" w:themeColor="text1"/>
              </w:rPr>
              <w:t>三</w:t>
            </w:r>
            <w:proofErr w:type="gramEnd"/>
            <w:r w:rsidRPr="00C61699">
              <w:rPr>
                <w:rFonts w:ascii="Times New Roman" w:hAnsi="Times New Roman" w:cs="Times New Roman"/>
                <w:color w:val="000000" w:themeColor="text1"/>
              </w:rPr>
              <w:t>百萬</w:t>
            </w:r>
            <w:r w:rsidR="00FF7A2C" w:rsidRPr="00C61699">
              <w:rPr>
                <w:rFonts w:ascii="Times New Roman" w:hAnsi="Times New Roman" w:cs="Times New Roman" w:hint="eastAsia"/>
                <w:color w:val="000000" w:themeColor="text1"/>
              </w:rPr>
              <w:t>元</w:t>
            </w:r>
            <w:r w:rsidRPr="00C61699">
              <w:rPr>
                <w:rFonts w:ascii="Times New Roman" w:hAnsi="Times New Roman" w:cs="Times New Roman"/>
                <w:color w:val="000000" w:themeColor="text1"/>
              </w:rPr>
              <w:t>。</w:t>
            </w:r>
          </w:p>
          <w:p w14:paraId="2FD42AF0" w14:textId="2DAE0ECB" w:rsidR="00C8427A" w:rsidRPr="00C61699" w:rsidRDefault="00C8427A" w:rsidP="0056743A">
            <w:pPr>
              <w:pStyle w:val="Default"/>
              <w:ind w:leftChars="196" w:left="877" w:hangingChars="186" w:hanging="446"/>
              <w:jc w:val="both"/>
              <w:rPr>
                <w:rFonts w:ascii="Times New Roman" w:hAnsi="Times New Roman" w:cs="Times New Roman"/>
                <w:color w:val="000000" w:themeColor="text1"/>
              </w:rPr>
            </w:pPr>
            <w:r w:rsidRPr="00C61699">
              <w:rPr>
                <w:rFonts w:ascii="Times New Roman" w:hAnsi="Times New Roman" w:cs="Times New Roman"/>
                <w:color w:val="000000" w:themeColor="text1"/>
              </w:rPr>
              <w:t>四、補繳差額在新臺幣二億五千萬元以上，且提供銀行本票、抵押權設定登記、保付支票或擔保書狀之案件，得延長分期</w:t>
            </w:r>
            <w:proofErr w:type="gramStart"/>
            <w:r w:rsidRPr="00C61699">
              <w:rPr>
                <w:rFonts w:ascii="Times New Roman" w:hAnsi="Times New Roman" w:cs="Times New Roman"/>
                <w:color w:val="000000" w:themeColor="text1"/>
              </w:rPr>
              <w:t>期</w:t>
            </w:r>
            <w:proofErr w:type="gramEnd"/>
            <w:r w:rsidRPr="00C61699">
              <w:rPr>
                <w:rFonts w:ascii="Times New Roman" w:hAnsi="Times New Roman" w:cs="Times New Roman"/>
                <w:color w:val="000000" w:themeColor="text1"/>
              </w:rPr>
              <w:t>數，其分期</w:t>
            </w:r>
            <w:proofErr w:type="gramStart"/>
            <w:r w:rsidRPr="00C61699">
              <w:rPr>
                <w:rFonts w:ascii="Times New Roman" w:hAnsi="Times New Roman" w:cs="Times New Roman"/>
                <w:color w:val="000000" w:themeColor="text1"/>
              </w:rPr>
              <w:t>期</w:t>
            </w:r>
            <w:proofErr w:type="gramEnd"/>
            <w:r w:rsidRPr="00C61699">
              <w:rPr>
                <w:rFonts w:ascii="Times New Roman" w:hAnsi="Times New Roman" w:cs="Times New Roman"/>
                <w:color w:val="000000" w:themeColor="text1"/>
              </w:rPr>
              <w:t>數不得逾三十六期，每期繳納金額不得低於五百萬</w:t>
            </w:r>
            <w:r w:rsidR="00FF7A2C" w:rsidRPr="00C61699">
              <w:rPr>
                <w:rFonts w:ascii="Times New Roman" w:hAnsi="Times New Roman" w:cs="Times New Roman" w:hint="eastAsia"/>
                <w:color w:val="000000" w:themeColor="text1"/>
              </w:rPr>
              <w:t>元</w:t>
            </w:r>
            <w:r w:rsidRPr="00C61699">
              <w:rPr>
                <w:rFonts w:ascii="Times New Roman" w:hAnsi="Times New Roman" w:cs="Times New Roman"/>
                <w:color w:val="000000" w:themeColor="text1"/>
              </w:rPr>
              <w:t>。</w:t>
            </w:r>
          </w:p>
          <w:p w14:paraId="4554B5A5" w14:textId="3EE2E22F" w:rsidR="00C8427A" w:rsidRPr="00C61699" w:rsidRDefault="00C8427A" w:rsidP="00C8427A">
            <w:pPr>
              <w:adjustRightInd/>
              <w:spacing w:before="49" w:line="276" w:lineRule="auto"/>
              <w:ind w:left="827" w:right="96" w:firstLine="31"/>
              <w:rPr>
                <w:rFonts w:ascii="Times New Roman" w:cs="Times New Roman"/>
                <w:color w:val="000000" w:themeColor="text1"/>
                <w:spacing w:val="33"/>
                <w:sz w:val="24"/>
                <w:szCs w:val="24"/>
              </w:rPr>
            </w:pPr>
            <w:r w:rsidRPr="00C61699">
              <w:rPr>
                <w:rFonts w:ascii="Times New Roman" w:cs="Times New Roman"/>
                <w:color w:val="000000" w:themeColor="text1"/>
                <w:sz w:val="24"/>
                <w:szCs w:val="24"/>
              </w:rPr>
              <w:t>前項所稱之分期，每一期為一個月。</w:t>
            </w:r>
          </w:p>
        </w:tc>
        <w:tc>
          <w:tcPr>
            <w:tcW w:w="5245" w:type="dxa"/>
            <w:tcBorders>
              <w:top w:val="single" w:sz="4" w:space="0" w:color="000000"/>
              <w:left w:val="single" w:sz="4" w:space="0" w:color="000000"/>
              <w:bottom w:val="single" w:sz="4" w:space="0" w:color="000000"/>
              <w:right w:val="single" w:sz="4" w:space="0" w:color="000000"/>
            </w:tcBorders>
          </w:tcPr>
          <w:p w14:paraId="11EE3580"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rPr>
            </w:pPr>
          </w:p>
        </w:tc>
        <w:tc>
          <w:tcPr>
            <w:tcW w:w="5103" w:type="dxa"/>
            <w:tcBorders>
              <w:top w:val="single" w:sz="4" w:space="0" w:color="000000"/>
              <w:left w:val="single" w:sz="4" w:space="0" w:color="000000"/>
              <w:bottom w:val="single" w:sz="4" w:space="0" w:color="000000"/>
              <w:right w:val="single" w:sz="4" w:space="0" w:color="000000"/>
            </w:tcBorders>
          </w:tcPr>
          <w:p w14:paraId="7A8730E9"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sz w:val="28"/>
                <w:szCs w:val="28"/>
              </w:rPr>
            </w:pPr>
          </w:p>
        </w:tc>
      </w:tr>
      <w:tr w:rsidR="00C61699" w:rsidRPr="00C61699" w14:paraId="5A029C84" w14:textId="77777777" w:rsidTr="00D62CC4">
        <w:trPr>
          <w:trHeight w:val="505"/>
        </w:trPr>
        <w:tc>
          <w:tcPr>
            <w:tcW w:w="5113" w:type="dxa"/>
            <w:tcBorders>
              <w:top w:val="single" w:sz="4" w:space="0" w:color="000000"/>
              <w:left w:val="single" w:sz="4" w:space="0" w:color="000000"/>
              <w:bottom w:val="single" w:sz="4" w:space="0" w:color="000000"/>
              <w:right w:val="single" w:sz="4" w:space="0" w:color="000000"/>
            </w:tcBorders>
          </w:tcPr>
          <w:p w14:paraId="7F1D6B8D" w14:textId="77777777" w:rsidR="00C8427A" w:rsidRPr="00C61699" w:rsidRDefault="00C8427A" w:rsidP="00C8427A">
            <w:pPr>
              <w:pStyle w:val="Default"/>
              <w:ind w:left="154" w:hangingChars="64" w:hanging="154"/>
              <w:jc w:val="both"/>
              <w:rPr>
                <w:rFonts w:ascii="Times New Roman" w:hAnsi="Times New Roman" w:cs="Times New Roman"/>
                <w:color w:val="000000" w:themeColor="text1"/>
              </w:rPr>
            </w:pPr>
            <w:r w:rsidRPr="00C61699">
              <w:rPr>
                <w:rFonts w:ascii="Times New Roman" w:hAnsi="Times New Roman" w:cs="Times New Roman"/>
                <w:color w:val="000000" w:themeColor="text1"/>
              </w:rPr>
              <w:t>第十八條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事業因停業、歇業、解散，應於事實發生之日起九十日內，檢具相關證明文件向中央主管機關</w:t>
            </w:r>
            <w:proofErr w:type="gramStart"/>
            <w:r w:rsidRPr="00C61699">
              <w:rPr>
                <w:rFonts w:ascii="Times New Roman" w:hAnsi="Times New Roman" w:cs="Times New Roman"/>
                <w:color w:val="000000" w:themeColor="text1"/>
              </w:rPr>
              <w:t>申請碳費結算</w:t>
            </w:r>
            <w:proofErr w:type="gramEnd"/>
            <w:r w:rsidRPr="00C61699">
              <w:rPr>
                <w:rFonts w:ascii="Times New Roman" w:hAnsi="Times New Roman" w:cs="Times New Roman"/>
                <w:color w:val="000000" w:themeColor="text1"/>
              </w:rPr>
              <w:t>及辦理停徵作業。</w:t>
            </w:r>
          </w:p>
          <w:p w14:paraId="40662F64" w14:textId="0BC0EAC5" w:rsidR="00C8427A" w:rsidRPr="00C61699" w:rsidRDefault="00C8427A" w:rsidP="00C8427A">
            <w:pPr>
              <w:adjustRightInd/>
              <w:spacing w:before="49" w:line="276" w:lineRule="auto"/>
              <w:ind w:leftChars="132" w:left="290" w:right="89" w:firstLineChars="246" w:firstLine="590"/>
              <w:jc w:val="both"/>
              <w:rPr>
                <w:rFonts w:ascii="Times New Roman" w:cs="Times New Roman"/>
                <w:color w:val="000000" w:themeColor="text1"/>
                <w:spacing w:val="-16"/>
                <w:sz w:val="24"/>
                <w:szCs w:val="24"/>
              </w:rPr>
            </w:pPr>
            <w:r w:rsidRPr="00C61699">
              <w:rPr>
                <w:rFonts w:ascii="Times New Roman" w:cs="Times New Roman"/>
                <w:color w:val="000000" w:themeColor="text1"/>
                <w:sz w:val="24"/>
                <w:szCs w:val="24"/>
              </w:rPr>
              <w:t>中央主管機關依前項申請結算事業應繳納</w:t>
            </w:r>
            <w:proofErr w:type="gramStart"/>
            <w:r w:rsidRPr="00C61699">
              <w:rPr>
                <w:rFonts w:ascii="Times New Roman" w:cs="Times New Roman"/>
                <w:color w:val="000000" w:themeColor="text1"/>
                <w:sz w:val="24"/>
                <w:szCs w:val="24"/>
              </w:rPr>
              <w:t>之碳費</w:t>
            </w:r>
            <w:proofErr w:type="gramEnd"/>
            <w:r w:rsidRPr="00C61699">
              <w:rPr>
                <w:rFonts w:ascii="Times New Roman" w:cs="Times New Roman"/>
                <w:color w:val="000000" w:themeColor="text1"/>
                <w:sz w:val="24"/>
                <w:szCs w:val="24"/>
              </w:rPr>
              <w:t>，經結算溢繳者，</w:t>
            </w:r>
            <w:r w:rsidR="00FF7A2C" w:rsidRPr="00C61699">
              <w:rPr>
                <w:rFonts w:ascii="Times New Roman" w:cs="Times New Roman" w:hint="eastAsia"/>
                <w:color w:val="000000" w:themeColor="text1"/>
                <w:sz w:val="24"/>
                <w:szCs w:val="24"/>
              </w:rPr>
              <w:t>無息</w:t>
            </w:r>
            <w:proofErr w:type="gramStart"/>
            <w:r w:rsidRPr="00C61699">
              <w:rPr>
                <w:rFonts w:ascii="Times New Roman" w:cs="Times New Roman"/>
                <w:color w:val="000000" w:themeColor="text1"/>
                <w:sz w:val="24"/>
                <w:szCs w:val="24"/>
              </w:rPr>
              <w:t>退還其溢繳</w:t>
            </w:r>
            <w:proofErr w:type="gramEnd"/>
            <w:r w:rsidRPr="00C61699">
              <w:rPr>
                <w:rFonts w:ascii="Times New Roman" w:cs="Times New Roman"/>
                <w:color w:val="000000" w:themeColor="text1"/>
                <w:sz w:val="24"/>
                <w:szCs w:val="24"/>
              </w:rPr>
              <w:t>之費用。</w:t>
            </w:r>
          </w:p>
        </w:tc>
        <w:tc>
          <w:tcPr>
            <w:tcW w:w="5245" w:type="dxa"/>
            <w:tcBorders>
              <w:top w:val="single" w:sz="4" w:space="0" w:color="000000"/>
              <w:left w:val="single" w:sz="4" w:space="0" w:color="000000"/>
              <w:bottom w:val="single" w:sz="4" w:space="0" w:color="000000"/>
              <w:right w:val="single" w:sz="4" w:space="0" w:color="000000"/>
            </w:tcBorders>
          </w:tcPr>
          <w:p w14:paraId="24F3AA0D"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rPr>
            </w:pPr>
          </w:p>
        </w:tc>
        <w:tc>
          <w:tcPr>
            <w:tcW w:w="5103" w:type="dxa"/>
            <w:tcBorders>
              <w:top w:val="single" w:sz="4" w:space="0" w:color="000000"/>
              <w:left w:val="single" w:sz="4" w:space="0" w:color="000000"/>
              <w:bottom w:val="single" w:sz="4" w:space="0" w:color="000000"/>
              <w:right w:val="single" w:sz="4" w:space="0" w:color="000000"/>
            </w:tcBorders>
          </w:tcPr>
          <w:p w14:paraId="32CF692C" w14:textId="1C59BCE3" w:rsidR="00C8427A" w:rsidRPr="00C61699" w:rsidRDefault="00C8427A" w:rsidP="005018DD">
            <w:pPr>
              <w:pStyle w:val="TableParagraph"/>
              <w:kinsoku w:val="0"/>
              <w:overflowPunct w:val="0"/>
              <w:spacing w:line="323" w:lineRule="exact"/>
              <w:ind w:leftChars="10" w:left="22"/>
              <w:jc w:val="left"/>
              <w:rPr>
                <w:rFonts w:ascii="Times New Roman" w:cs="Times New Roman"/>
                <w:color w:val="000000" w:themeColor="text1"/>
                <w:spacing w:val="-1"/>
                <w:sz w:val="28"/>
                <w:szCs w:val="28"/>
              </w:rPr>
            </w:pPr>
          </w:p>
        </w:tc>
      </w:tr>
      <w:tr w:rsidR="00C61699" w:rsidRPr="00C61699" w14:paraId="7FC31855" w14:textId="77777777" w:rsidTr="00D62CC4">
        <w:trPr>
          <w:trHeight w:val="505"/>
        </w:trPr>
        <w:tc>
          <w:tcPr>
            <w:tcW w:w="5113" w:type="dxa"/>
            <w:tcBorders>
              <w:top w:val="single" w:sz="4" w:space="0" w:color="000000"/>
              <w:left w:val="single" w:sz="4" w:space="0" w:color="000000"/>
              <w:bottom w:val="single" w:sz="4" w:space="0" w:color="000000"/>
              <w:right w:val="single" w:sz="4" w:space="0" w:color="000000"/>
            </w:tcBorders>
          </w:tcPr>
          <w:p w14:paraId="6480F5D5" w14:textId="25C76FBE" w:rsidR="00C8427A" w:rsidRPr="00C61699" w:rsidRDefault="00C8427A" w:rsidP="00C8427A">
            <w:pPr>
              <w:pStyle w:val="Default"/>
              <w:ind w:left="154" w:hangingChars="64" w:hanging="154"/>
              <w:jc w:val="both"/>
              <w:rPr>
                <w:rFonts w:ascii="Times New Roman" w:hAnsi="Times New Roman" w:cs="Times New Roman"/>
                <w:color w:val="000000" w:themeColor="text1"/>
              </w:rPr>
            </w:pPr>
            <w:r w:rsidRPr="00C61699">
              <w:rPr>
                <w:rFonts w:ascii="Times New Roman" w:hAnsi="Times New Roman" w:cs="Times New Roman"/>
                <w:color w:val="000000" w:themeColor="text1"/>
              </w:rPr>
              <w:t>第十九條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中央主管機關為</w:t>
            </w:r>
            <w:proofErr w:type="gramStart"/>
            <w:r w:rsidRPr="00C61699">
              <w:rPr>
                <w:rFonts w:ascii="Times New Roman" w:hAnsi="Times New Roman" w:cs="Times New Roman"/>
                <w:color w:val="000000" w:themeColor="text1"/>
              </w:rPr>
              <w:t>徵收碳費</w:t>
            </w:r>
            <w:proofErr w:type="gramEnd"/>
            <w:r w:rsidRPr="00C61699">
              <w:rPr>
                <w:rFonts w:ascii="Times New Roman" w:hAnsi="Times New Roman" w:cs="Times New Roman"/>
                <w:color w:val="000000" w:themeColor="text1"/>
              </w:rPr>
              <w:t>，得請其他目的事業主管機關提供涉及其職權資料或相關證明文件等，據以審查核算事業之溫室氣體排放量。</w:t>
            </w:r>
          </w:p>
        </w:tc>
        <w:tc>
          <w:tcPr>
            <w:tcW w:w="5245" w:type="dxa"/>
            <w:tcBorders>
              <w:top w:val="single" w:sz="4" w:space="0" w:color="000000"/>
              <w:left w:val="single" w:sz="4" w:space="0" w:color="000000"/>
              <w:bottom w:val="single" w:sz="4" w:space="0" w:color="000000"/>
              <w:right w:val="single" w:sz="4" w:space="0" w:color="000000"/>
            </w:tcBorders>
          </w:tcPr>
          <w:p w14:paraId="0C21FCB4" w14:textId="58B6F9F0" w:rsidR="00C8427A" w:rsidRPr="00C61699" w:rsidRDefault="00C8427A" w:rsidP="00C8427A">
            <w:pPr>
              <w:pStyle w:val="TableParagraph"/>
              <w:kinsoku w:val="0"/>
              <w:overflowPunct w:val="0"/>
              <w:spacing w:line="323" w:lineRule="exact"/>
              <w:ind w:leftChars="4" w:left="129" w:hangingChars="50" w:hanging="120"/>
              <w:rPr>
                <w:rFonts w:ascii="Times New Roman" w:cs="Times New Roman"/>
                <w:b/>
                <w:bCs/>
                <w:color w:val="000000" w:themeColor="text1"/>
                <w:u w:val="single"/>
              </w:rPr>
            </w:pPr>
          </w:p>
        </w:tc>
        <w:tc>
          <w:tcPr>
            <w:tcW w:w="5103" w:type="dxa"/>
            <w:tcBorders>
              <w:top w:val="single" w:sz="4" w:space="0" w:color="000000"/>
              <w:left w:val="single" w:sz="4" w:space="0" w:color="000000"/>
              <w:bottom w:val="single" w:sz="4" w:space="0" w:color="000000"/>
              <w:right w:val="single" w:sz="4" w:space="0" w:color="000000"/>
            </w:tcBorders>
          </w:tcPr>
          <w:p w14:paraId="0EE8459C" w14:textId="39B004FE" w:rsidR="005018DD" w:rsidRPr="00C61699" w:rsidRDefault="005018DD" w:rsidP="00CF2398">
            <w:pPr>
              <w:pStyle w:val="TableParagraph"/>
              <w:kinsoku w:val="0"/>
              <w:overflowPunct w:val="0"/>
              <w:spacing w:line="323" w:lineRule="exact"/>
              <w:ind w:leftChars="3" w:left="7"/>
              <w:jc w:val="left"/>
              <w:rPr>
                <w:rFonts w:hAnsi="標楷體"/>
                <w:color w:val="000000" w:themeColor="text1"/>
                <w:spacing w:val="-1"/>
                <w:sz w:val="28"/>
                <w:szCs w:val="28"/>
              </w:rPr>
            </w:pPr>
          </w:p>
        </w:tc>
      </w:tr>
      <w:tr w:rsidR="00C61699" w:rsidRPr="00C61699" w14:paraId="15B96289" w14:textId="77777777" w:rsidTr="00D62CC4">
        <w:trPr>
          <w:trHeight w:val="505"/>
        </w:trPr>
        <w:tc>
          <w:tcPr>
            <w:tcW w:w="5113" w:type="dxa"/>
            <w:tcBorders>
              <w:top w:val="single" w:sz="4" w:space="0" w:color="000000"/>
              <w:left w:val="single" w:sz="4" w:space="0" w:color="000000"/>
              <w:bottom w:val="single" w:sz="4" w:space="0" w:color="000000"/>
              <w:right w:val="single" w:sz="4" w:space="0" w:color="000000"/>
            </w:tcBorders>
          </w:tcPr>
          <w:p w14:paraId="6F654A6C" w14:textId="11CA4ED2" w:rsidR="00C8427A" w:rsidRPr="00C61699" w:rsidRDefault="00C8427A" w:rsidP="00C8427A">
            <w:pPr>
              <w:pStyle w:val="Default"/>
              <w:ind w:left="154" w:hangingChars="64" w:hanging="154"/>
              <w:jc w:val="both"/>
              <w:rPr>
                <w:rFonts w:ascii="Times New Roman" w:hAnsi="Times New Roman" w:cs="Times New Roman"/>
                <w:color w:val="000000" w:themeColor="text1"/>
              </w:rPr>
            </w:pPr>
            <w:r w:rsidRPr="00C61699">
              <w:rPr>
                <w:rFonts w:ascii="Times New Roman" w:hAnsi="Times New Roman" w:cs="Times New Roman"/>
                <w:color w:val="000000" w:themeColor="text1"/>
              </w:rPr>
              <w:t>第二十條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事業依第四條規定申報或</w:t>
            </w:r>
            <w:proofErr w:type="gramStart"/>
            <w:r w:rsidRPr="00C61699">
              <w:rPr>
                <w:rFonts w:ascii="Times New Roman" w:hAnsi="Times New Roman" w:cs="Times New Roman"/>
                <w:color w:val="000000" w:themeColor="text1"/>
              </w:rPr>
              <w:t>繳納碳費者</w:t>
            </w:r>
            <w:proofErr w:type="gramEnd"/>
            <w:r w:rsidRPr="00C61699">
              <w:rPr>
                <w:rFonts w:ascii="Times New Roman" w:hAnsi="Times New Roman" w:cs="Times New Roman"/>
                <w:color w:val="000000" w:themeColor="text1"/>
              </w:rPr>
              <w:t>，</w:t>
            </w:r>
            <w:proofErr w:type="gramStart"/>
            <w:r w:rsidRPr="00C61699">
              <w:rPr>
                <w:rFonts w:ascii="Times New Roman" w:hAnsi="Times New Roman" w:cs="Times New Roman"/>
                <w:color w:val="000000" w:themeColor="text1"/>
              </w:rPr>
              <w:t>其碳費申報</w:t>
            </w:r>
            <w:proofErr w:type="gramEnd"/>
            <w:r w:rsidRPr="00C61699">
              <w:rPr>
                <w:rFonts w:ascii="Times New Roman" w:hAnsi="Times New Roman" w:cs="Times New Roman"/>
                <w:color w:val="000000" w:themeColor="text1"/>
              </w:rPr>
              <w:t>資料、繳費收據、自主減量計畫執</w:t>
            </w:r>
            <w:r w:rsidRPr="00C61699">
              <w:rPr>
                <w:rFonts w:ascii="Times New Roman" w:hAnsi="Times New Roman" w:cs="Times New Roman"/>
                <w:color w:val="000000" w:themeColor="text1"/>
              </w:rPr>
              <w:lastRenderedPageBreak/>
              <w:t>行成果相關資料、減量額度來源及註銷核准之相關文件、相關紀錄資料及證明資料，應保存六年備查。</w:t>
            </w:r>
          </w:p>
        </w:tc>
        <w:tc>
          <w:tcPr>
            <w:tcW w:w="5245" w:type="dxa"/>
            <w:tcBorders>
              <w:top w:val="single" w:sz="4" w:space="0" w:color="000000"/>
              <w:left w:val="single" w:sz="4" w:space="0" w:color="000000"/>
              <w:bottom w:val="single" w:sz="4" w:space="0" w:color="000000"/>
              <w:right w:val="single" w:sz="4" w:space="0" w:color="000000"/>
            </w:tcBorders>
          </w:tcPr>
          <w:p w14:paraId="3E845FE1"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rPr>
            </w:pPr>
          </w:p>
        </w:tc>
        <w:tc>
          <w:tcPr>
            <w:tcW w:w="5103" w:type="dxa"/>
            <w:tcBorders>
              <w:top w:val="single" w:sz="4" w:space="0" w:color="000000"/>
              <w:left w:val="single" w:sz="4" w:space="0" w:color="000000"/>
              <w:bottom w:val="single" w:sz="4" w:space="0" w:color="000000"/>
              <w:right w:val="single" w:sz="4" w:space="0" w:color="000000"/>
            </w:tcBorders>
          </w:tcPr>
          <w:p w14:paraId="775F1519"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sz w:val="28"/>
                <w:szCs w:val="28"/>
              </w:rPr>
            </w:pPr>
          </w:p>
        </w:tc>
      </w:tr>
      <w:tr w:rsidR="00C61699" w:rsidRPr="00C61699" w14:paraId="0A35CF5E" w14:textId="77777777" w:rsidTr="00D62CC4">
        <w:trPr>
          <w:trHeight w:val="505"/>
        </w:trPr>
        <w:tc>
          <w:tcPr>
            <w:tcW w:w="5113" w:type="dxa"/>
            <w:tcBorders>
              <w:top w:val="single" w:sz="4" w:space="0" w:color="000000"/>
              <w:left w:val="single" w:sz="4" w:space="0" w:color="000000"/>
              <w:bottom w:val="single" w:sz="4" w:space="0" w:color="000000"/>
              <w:right w:val="single" w:sz="4" w:space="0" w:color="000000"/>
            </w:tcBorders>
          </w:tcPr>
          <w:p w14:paraId="19ED4306" w14:textId="0CC3E9F9" w:rsidR="00C8427A" w:rsidRPr="00C61699" w:rsidRDefault="00C8427A" w:rsidP="00C8427A">
            <w:pPr>
              <w:pStyle w:val="Default"/>
              <w:ind w:left="154" w:hangingChars="64" w:hanging="154"/>
              <w:jc w:val="both"/>
              <w:rPr>
                <w:rFonts w:ascii="Times New Roman" w:hAnsi="Times New Roman" w:cs="Times New Roman"/>
                <w:color w:val="000000" w:themeColor="text1"/>
              </w:rPr>
            </w:pPr>
            <w:r w:rsidRPr="00C61699">
              <w:rPr>
                <w:rFonts w:ascii="Times New Roman" w:hAnsi="Times New Roman" w:cs="Times New Roman"/>
                <w:color w:val="000000" w:themeColor="text1"/>
              </w:rPr>
              <w:t>第二十一條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事業因天災、</w:t>
            </w:r>
            <w:proofErr w:type="gramStart"/>
            <w:r w:rsidRPr="00C61699">
              <w:rPr>
                <w:rFonts w:ascii="Times New Roman" w:hAnsi="Times New Roman" w:cs="Times New Roman"/>
                <w:color w:val="000000" w:themeColor="text1"/>
              </w:rPr>
              <w:t>疫情或</w:t>
            </w:r>
            <w:proofErr w:type="gramEnd"/>
            <w:r w:rsidRPr="00C61699">
              <w:rPr>
                <w:rFonts w:ascii="Times New Roman" w:hAnsi="Times New Roman" w:cs="Times New Roman"/>
                <w:color w:val="000000" w:themeColor="text1"/>
              </w:rPr>
              <w:t>其他不可抗力事由致未能於期限內</w:t>
            </w:r>
            <w:proofErr w:type="gramStart"/>
            <w:r w:rsidRPr="00C61699">
              <w:rPr>
                <w:rFonts w:ascii="Times New Roman" w:hAnsi="Times New Roman" w:cs="Times New Roman"/>
                <w:color w:val="000000" w:themeColor="text1"/>
              </w:rPr>
              <w:t>完成碳費申報</w:t>
            </w:r>
            <w:proofErr w:type="gramEnd"/>
            <w:r w:rsidRPr="00C61699">
              <w:rPr>
                <w:rFonts w:ascii="Times New Roman" w:hAnsi="Times New Roman" w:cs="Times New Roman"/>
                <w:color w:val="000000" w:themeColor="text1"/>
              </w:rPr>
              <w:t>或繳納作業者，應於規定期限屆滿前，以書面敘明理由，並檢具相關資料，向中央主管機關申請展延，經中央主管機關同意後據以調整申報或繳納期限。</w:t>
            </w:r>
          </w:p>
        </w:tc>
        <w:tc>
          <w:tcPr>
            <w:tcW w:w="5245" w:type="dxa"/>
            <w:tcBorders>
              <w:top w:val="single" w:sz="4" w:space="0" w:color="000000"/>
              <w:left w:val="single" w:sz="4" w:space="0" w:color="000000"/>
              <w:bottom w:val="single" w:sz="4" w:space="0" w:color="000000"/>
              <w:right w:val="single" w:sz="4" w:space="0" w:color="000000"/>
            </w:tcBorders>
          </w:tcPr>
          <w:p w14:paraId="7692EE71"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rPr>
            </w:pPr>
          </w:p>
        </w:tc>
        <w:tc>
          <w:tcPr>
            <w:tcW w:w="5103" w:type="dxa"/>
            <w:tcBorders>
              <w:top w:val="single" w:sz="4" w:space="0" w:color="000000"/>
              <w:left w:val="single" w:sz="4" w:space="0" w:color="000000"/>
              <w:bottom w:val="single" w:sz="4" w:space="0" w:color="000000"/>
              <w:right w:val="single" w:sz="4" w:space="0" w:color="000000"/>
            </w:tcBorders>
          </w:tcPr>
          <w:p w14:paraId="7DD25C8F"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sz w:val="28"/>
                <w:szCs w:val="28"/>
              </w:rPr>
            </w:pPr>
          </w:p>
        </w:tc>
      </w:tr>
      <w:tr w:rsidR="00C61699" w:rsidRPr="00C61699" w14:paraId="3C97E30F" w14:textId="77777777" w:rsidTr="00D62CC4">
        <w:trPr>
          <w:trHeight w:val="505"/>
        </w:trPr>
        <w:tc>
          <w:tcPr>
            <w:tcW w:w="5113" w:type="dxa"/>
            <w:tcBorders>
              <w:top w:val="single" w:sz="4" w:space="0" w:color="000000"/>
              <w:left w:val="single" w:sz="4" w:space="0" w:color="000000"/>
              <w:bottom w:val="single" w:sz="4" w:space="0" w:color="000000"/>
              <w:right w:val="single" w:sz="4" w:space="0" w:color="000000"/>
            </w:tcBorders>
          </w:tcPr>
          <w:p w14:paraId="5808C3F3" w14:textId="4836F33E" w:rsidR="00C8427A" w:rsidRPr="00C61699" w:rsidRDefault="00C8427A" w:rsidP="00C8427A">
            <w:pPr>
              <w:pStyle w:val="Default"/>
              <w:ind w:left="154" w:hangingChars="64" w:hanging="154"/>
              <w:jc w:val="both"/>
              <w:rPr>
                <w:rFonts w:ascii="Times New Roman" w:hAnsi="Times New Roman" w:cs="Times New Roman"/>
                <w:color w:val="000000" w:themeColor="text1"/>
              </w:rPr>
            </w:pPr>
            <w:r w:rsidRPr="00C61699">
              <w:rPr>
                <w:rFonts w:ascii="Times New Roman" w:hAnsi="Times New Roman" w:cs="Times New Roman"/>
                <w:color w:val="000000" w:themeColor="text1"/>
              </w:rPr>
              <w:t>第二十二條</w:t>
            </w:r>
            <w:r w:rsidRPr="00C61699">
              <w:rPr>
                <w:rFonts w:ascii="Times New Roman" w:hAnsi="Times New Roman" w:cs="Times New Roman"/>
                <w:color w:val="000000" w:themeColor="text1"/>
              </w:rPr>
              <w:t xml:space="preserve"> </w:t>
            </w:r>
            <w:r w:rsidR="00FF7A2C" w:rsidRPr="00C61699">
              <w:rPr>
                <w:rFonts w:ascii="Times New Roman" w:hAnsi="Times New Roman" w:cs="Times New Roman"/>
                <w:color w:val="000000" w:themeColor="text1"/>
              </w:rPr>
              <w:t>中央主管機關</w:t>
            </w:r>
            <w:r w:rsidR="00FF7A2C" w:rsidRPr="00C61699">
              <w:rPr>
                <w:color w:val="000000" w:themeColor="text1"/>
              </w:rPr>
              <w:t>得委辦或委託相關機關或機構</w:t>
            </w:r>
            <w:proofErr w:type="gramStart"/>
            <w:r w:rsidR="00FF7A2C" w:rsidRPr="00C61699">
              <w:rPr>
                <w:color w:val="000000" w:themeColor="text1"/>
              </w:rPr>
              <w:t>辦理</w:t>
            </w:r>
            <w:r w:rsidRPr="00C61699">
              <w:rPr>
                <w:rFonts w:ascii="Times New Roman" w:hAnsi="Times New Roman" w:cs="Times New Roman"/>
                <w:color w:val="000000" w:themeColor="text1"/>
              </w:rPr>
              <w:t>碳費之</w:t>
            </w:r>
            <w:proofErr w:type="gramEnd"/>
            <w:r w:rsidRPr="00C61699">
              <w:rPr>
                <w:rFonts w:ascii="Times New Roman" w:hAnsi="Times New Roman" w:cs="Times New Roman"/>
                <w:color w:val="000000" w:themeColor="text1"/>
              </w:rPr>
              <w:t>徵收與申報作業之審查、結算、核算、核定、通知、查核、繳費金額不足之追補</w:t>
            </w:r>
            <w:proofErr w:type="gramStart"/>
            <w:r w:rsidRPr="00C61699">
              <w:rPr>
                <w:rFonts w:ascii="Times New Roman" w:hAnsi="Times New Roman" w:cs="Times New Roman"/>
                <w:color w:val="000000" w:themeColor="text1"/>
              </w:rPr>
              <w:t>繳及溢繳</w:t>
            </w:r>
            <w:proofErr w:type="gramEnd"/>
            <w:r w:rsidRPr="00C61699">
              <w:rPr>
                <w:rFonts w:ascii="Times New Roman" w:hAnsi="Times New Roman" w:cs="Times New Roman"/>
                <w:color w:val="000000" w:themeColor="text1"/>
              </w:rPr>
              <w:t>退費作業。</w:t>
            </w:r>
          </w:p>
        </w:tc>
        <w:tc>
          <w:tcPr>
            <w:tcW w:w="5245" w:type="dxa"/>
            <w:tcBorders>
              <w:top w:val="single" w:sz="4" w:space="0" w:color="000000"/>
              <w:left w:val="single" w:sz="4" w:space="0" w:color="000000"/>
              <w:bottom w:val="single" w:sz="4" w:space="0" w:color="000000"/>
              <w:right w:val="single" w:sz="4" w:space="0" w:color="000000"/>
            </w:tcBorders>
          </w:tcPr>
          <w:p w14:paraId="637096D5"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rPr>
            </w:pPr>
          </w:p>
        </w:tc>
        <w:tc>
          <w:tcPr>
            <w:tcW w:w="5103" w:type="dxa"/>
            <w:tcBorders>
              <w:top w:val="single" w:sz="4" w:space="0" w:color="000000"/>
              <w:left w:val="single" w:sz="4" w:space="0" w:color="000000"/>
              <w:bottom w:val="single" w:sz="4" w:space="0" w:color="000000"/>
              <w:right w:val="single" w:sz="4" w:space="0" w:color="000000"/>
            </w:tcBorders>
          </w:tcPr>
          <w:p w14:paraId="715748FC"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sz w:val="28"/>
                <w:szCs w:val="28"/>
              </w:rPr>
            </w:pPr>
          </w:p>
        </w:tc>
      </w:tr>
      <w:tr w:rsidR="00C61699" w:rsidRPr="00C61699" w14:paraId="2C28A560" w14:textId="77777777" w:rsidTr="00D62CC4">
        <w:trPr>
          <w:trHeight w:val="505"/>
        </w:trPr>
        <w:tc>
          <w:tcPr>
            <w:tcW w:w="5113" w:type="dxa"/>
            <w:tcBorders>
              <w:top w:val="single" w:sz="4" w:space="0" w:color="000000"/>
              <w:left w:val="single" w:sz="4" w:space="0" w:color="000000"/>
              <w:bottom w:val="single" w:sz="4" w:space="0" w:color="000000"/>
              <w:right w:val="single" w:sz="4" w:space="0" w:color="000000"/>
            </w:tcBorders>
          </w:tcPr>
          <w:p w14:paraId="2396AB85" w14:textId="7F1E7D57" w:rsidR="00C8427A" w:rsidRPr="00C61699" w:rsidRDefault="00C8427A" w:rsidP="00FF7A2C">
            <w:pPr>
              <w:pStyle w:val="Default"/>
              <w:ind w:left="154" w:hangingChars="64" w:hanging="154"/>
              <w:jc w:val="both"/>
              <w:rPr>
                <w:rFonts w:ascii="Times New Roman" w:hAnsi="Times New Roman" w:cs="Times New Roman"/>
                <w:color w:val="000000" w:themeColor="text1"/>
              </w:rPr>
            </w:pPr>
            <w:r w:rsidRPr="00C61699">
              <w:rPr>
                <w:rFonts w:ascii="Times New Roman" w:hAnsi="Times New Roman" w:cs="Times New Roman"/>
                <w:color w:val="000000" w:themeColor="text1"/>
              </w:rPr>
              <w:t>第二十三條</w:t>
            </w:r>
            <w:r w:rsidRPr="00C61699">
              <w:rPr>
                <w:rFonts w:ascii="Times New Roman" w:hAnsi="Times New Roman" w:cs="Times New Roman"/>
                <w:color w:val="000000" w:themeColor="text1"/>
              </w:rPr>
              <w:t xml:space="preserve"> </w:t>
            </w:r>
            <w:r w:rsidRPr="00C61699">
              <w:rPr>
                <w:rFonts w:ascii="Times New Roman" w:hAnsi="Times New Roman" w:cs="Times New Roman"/>
                <w:color w:val="000000" w:themeColor="text1"/>
              </w:rPr>
              <w:t>本辦法施行</w:t>
            </w:r>
            <w:r w:rsidR="00FF7A2C" w:rsidRPr="00C61699">
              <w:rPr>
                <w:rFonts w:ascii="Times New Roman" w:hAnsi="Times New Roman" w:cs="Times New Roman" w:hint="eastAsia"/>
                <w:color w:val="000000" w:themeColor="text1"/>
              </w:rPr>
              <w:t>日期，由</w:t>
            </w:r>
            <w:proofErr w:type="gramStart"/>
            <w:r w:rsidR="00FF7A2C" w:rsidRPr="00C61699">
              <w:rPr>
                <w:rFonts w:ascii="Times New Roman" w:hAnsi="Times New Roman" w:cs="Times New Roman" w:hint="eastAsia"/>
                <w:color w:val="000000" w:themeColor="text1"/>
              </w:rPr>
              <w:t>環境部定之</w:t>
            </w:r>
            <w:proofErr w:type="gramEnd"/>
            <w:r w:rsidRPr="00C61699">
              <w:rPr>
                <w:rFonts w:ascii="Times New Roman" w:hAnsi="Times New Roman" w:cs="Times New Roman"/>
                <w:color w:val="000000" w:themeColor="text1"/>
              </w:rPr>
              <w:t>。</w:t>
            </w:r>
          </w:p>
        </w:tc>
        <w:tc>
          <w:tcPr>
            <w:tcW w:w="5245" w:type="dxa"/>
            <w:tcBorders>
              <w:top w:val="single" w:sz="4" w:space="0" w:color="000000"/>
              <w:left w:val="single" w:sz="4" w:space="0" w:color="000000"/>
              <w:bottom w:val="single" w:sz="4" w:space="0" w:color="000000"/>
              <w:right w:val="single" w:sz="4" w:space="0" w:color="000000"/>
            </w:tcBorders>
          </w:tcPr>
          <w:p w14:paraId="121D8A69"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rPr>
            </w:pPr>
          </w:p>
        </w:tc>
        <w:tc>
          <w:tcPr>
            <w:tcW w:w="5103" w:type="dxa"/>
            <w:tcBorders>
              <w:top w:val="single" w:sz="4" w:space="0" w:color="000000"/>
              <w:left w:val="single" w:sz="4" w:space="0" w:color="000000"/>
              <w:bottom w:val="single" w:sz="4" w:space="0" w:color="000000"/>
              <w:right w:val="single" w:sz="4" w:space="0" w:color="000000"/>
            </w:tcBorders>
          </w:tcPr>
          <w:p w14:paraId="12539931" w14:textId="77777777" w:rsidR="00C8427A" w:rsidRPr="00C61699" w:rsidRDefault="00C8427A" w:rsidP="00C8427A">
            <w:pPr>
              <w:pStyle w:val="TableParagraph"/>
              <w:kinsoku w:val="0"/>
              <w:overflowPunct w:val="0"/>
              <w:spacing w:line="323" w:lineRule="exact"/>
              <w:ind w:leftChars="10" w:left="2001" w:hanging="1979"/>
              <w:jc w:val="left"/>
              <w:rPr>
                <w:rFonts w:ascii="Times New Roman" w:cs="Times New Roman"/>
                <w:color w:val="000000" w:themeColor="text1"/>
                <w:spacing w:val="-1"/>
              </w:rPr>
            </w:pPr>
          </w:p>
        </w:tc>
      </w:tr>
    </w:tbl>
    <w:p w14:paraId="7A1AF887" w14:textId="77777777" w:rsidR="001E4C09" w:rsidRPr="00C61699" w:rsidRDefault="001E4C09" w:rsidP="004840A1">
      <w:pPr>
        <w:rPr>
          <w:rFonts w:ascii="Times New Roman" w:cs="Times New Roman"/>
          <w:color w:val="000000" w:themeColor="text1"/>
          <w:sz w:val="24"/>
          <w:szCs w:val="24"/>
        </w:rPr>
      </w:pPr>
    </w:p>
    <w:sectPr w:rsidR="001E4C09" w:rsidRPr="00C61699" w:rsidSect="00BA6FEB">
      <w:footerReference w:type="default" r:id="rId7"/>
      <w:pgSz w:w="16840" w:h="11910" w:orient="landscape"/>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FEF36" w14:textId="77777777" w:rsidR="00BA6FEB" w:rsidRDefault="00BA6FEB" w:rsidP="00DD2332">
      <w:r>
        <w:separator/>
      </w:r>
    </w:p>
  </w:endnote>
  <w:endnote w:type="continuationSeparator" w:id="0">
    <w:p w14:paraId="35EE7EA8" w14:textId="77777777" w:rsidR="00BA6FEB" w:rsidRDefault="00BA6FEB" w:rsidP="00DD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9278641"/>
      <w:docPartObj>
        <w:docPartGallery w:val="Page Numbers (Bottom of Page)"/>
        <w:docPartUnique/>
      </w:docPartObj>
    </w:sdtPr>
    <w:sdtContent>
      <w:p w14:paraId="1F40DB35" w14:textId="3E8DC293" w:rsidR="00146529" w:rsidRDefault="00146529">
        <w:pPr>
          <w:pStyle w:val="a8"/>
          <w:jc w:val="center"/>
        </w:pPr>
        <w:r>
          <w:fldChar w:fldCharType="begin"/>
        </w:r>
        <w:r>
          <w:instrText>PAGE   \* MERGEFORMAT</w:instrText>
        </w:r>
        <w:r>
          <w:fldChar w:fldCharType="separate"/>
        </w:r>
        <w:r w:rsidR="00FF7A2C" w:rsidRPr="00FF7A2C">
          <w:rPr>
            <w:noProof/>
            <w:lang w:val="zh-TW"/>
          </w:rPr>
          <w:t>3</w:t>
        </w:r>
        <w:r>
          <w:fldChar w:fldCharType="end"/>
        </w:r>
      </w:p>
    </w:sdtContent>
  </w:sdt>
  <w:p w14:paraId="419530CB" w14:textId="77777777" w:rsidR="00146529" w:rsidRDefault="001465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6A5F0" w14:textId="77777777" w:rsidR="00BA6FEB" w:rsidRDefault="00BA6FEB" w:rsidP="00DD2332">
      <w:r>
        <w:separator/>
      </w:r>
    </w:p>
  </w:footnote>
  <w:footnote w:type="continuationSeparator" w:id="0">
    <w:p w14:paraId="0A85B8AA" w14:textId="77777777" w:rsidR="00BA6FEB" w:rsidRDefault="00BA6FEB" w:rsidP="00DD2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B1C08"/>
    <w:multiLevelType w:val="hybridMultilevel"/>
    <w:tmpl w:val="4B6E4E5A"/>
    <w:lvl w:ilvl="0" w:tplc="0409000F">
      <w:start w:val="1"/>
      <w:numFmt w:val="decimal"/>
      <w:lvlText w:val="%1."/>
      <w:lvlJc w:val="left"/>
      <w:pPr>
        <w:ind w:left="502" w:hanging="480"/>
      </w:p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1" w15:restartNumberingAfterBreak="0">
    <w:nsid w:val="356514F3"/>
    <w:multiLevelType w:val="hybridMultilevel"/>
    <w:tmpl w:val="E9EEE4C6"/>
    <w:lvl w:ilvl="0" w:tplc="0409000F">
      <w:start w:val="1"/>
      <w:numFmt w:val="decimal"/>
      <w:lvlText w:val="%1."/>
      <w:lvlJc w:val="left"/>
      <w:pPr>
        <w:ind w:left="502" w:hanging="480"/>
      </w:p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2" w15:restartNumberingAfterBreak="0">
    <w:nsid w:val="423D6C21"/>
    <w:multiLevelType w:val="hybridMultilevel"/>
    <w:tmpl w:val="F342EA58"/>
    <w:lvl w:ilvl="0" w:tplc="9EF2178E">
      <w:start w:val="1"/>
      <w:numFmt w:val="taiwaneseCountingThousand"/>
      <w:lvlText w:val="%1、"/>
      <w:lvlJc w:val="left"/>
      <w:pPr>
        <w:ind w:left="614" w:hanging="510"/>
      </w:pPr>
      <w:rPr>
        <w:rFonts w:hint="default"/>
      </w:rPr>
    </w:lvl>
    <w:lvl w:ilvl="1" w:tplc="04090019" w:tentative="1">
      <w:start w:val="1"/>
      <w:numFmt w:val="ideographTraditional"/>
      <w:lvlText w:val="%2、"/>
      <w:lvlJc w:val="left"/>
      <w:pPr>
        <w:ind w:left="1064" w:hanging="480"/>
      </w:pPr>
    </w:lvl>
    <w:lvl w:ilvl="2" w:tplc="0409001B" w:tentative="1">
      <w:start w:val="1"/>
      <w:numFmt w:val="lowerRoman"/>
      <w:lvlText w:val="%3."/>
      <w:lvlJc w:val="right"/>
      <w:pPr>
        <w:ind w:left="1544" w:hanging="480"/>
      </w:pPr>
    </w:lvl>
    <w:lvl w:ilvl="3" w:tplc="0409000F" w:tentative="1">
      <w:start w:val="1"/>
      <w:numFmt w:val="decimal"/>
      <w:lvlText w:val="%4."/>
      <w:lvlJc w:val="left"/>
      <w:pPr>
        <w:ind w:left="2024" w:hanging="480"/>
      </w:pPr>
    </w:lvl>
    <w:lvl w:ilvl="4" w:tplc="04090019" w:tentative="1">
      <w:start w:val="1"/>
      <w:numFmt w:val="ideographTraditional"/>
      <w:lvlText w:val="%5、"/>
      <w:lvlJc w:val="left"/>
      <w:pPr>
        <w:ind w:left="2504" w:hanging="480"/>
      </w:pPr>
    </w:lvl>
    <w:lvl w:ilvl="5" w:tplc="0409001B" w:tentative="1">
      <w:start w:val="1"/>
      <w:numFmt w:val="lowerRoman"/>
      <w:lvlText w:val="%6."/>
      <w:lvlJc w:val="right"/>
      <w:pPr>
        <w:ind w:left="2984" w:hanging="480"/>
      </w:pPr>
    </w:lvl>
    <w:lvl w:ilvl="6" w:tplc="0409000F" w:tentative="1">
      <w:start w:val="1"/>
      <w:numFmt w:val="decimal"/>
      <w:lvlText w:val="%7."/>
      <w:lvlJc w:val="left"/>
      <w:pPr>
        <w:ind w:left="3464" w:hanging="480"/>
      </w:pPr>
    </w:lvl>
    <w:lvl w:ilvl="7" w:tplc="04090019" w:tentative="1">
      <w:start w:val="1"/>
      <w:numFmt w:val="ideographTraditional"/>
      <w:lvlText w:val="%8、"/>
      <w:lvlJc w:val="left"/>
      <w:pPr>
        <w:ind w:left="3944" w:hanging="480"/>
      </w:pPr>
    </w:lvl>
    <w:lvl w:ilvl="8" w:tplc="0409001B" w:tentative="1">
      <w:start w:val="1"/>
      <w:numFmt w:val="lowerRoman"/>
      <w:lvlText w:val="%9."/>
      <w:lvlJc w:val="right"/>
      <w:pPr>
        <w:ind w:left="4424" w:hanging="480"/>
      </w:pPr>
    </w:lvl>
  </w:abstractNum>
  <w:abstractNum w:abstractNumId="3" w15:restartNumberingAfterBreak="0">
    <w:nsid w:val="724C2994"/>
    <w:multiLevelType w:val="hybridMultilevel"/>
    <w:tmpl w:val="A942E3D8"/>
    <w:lvl w:ilvl="0" w:tplc="EAB255B6">
      <w:start w:val="6"/>
      <w:numFmt w:val="taiwaneseCountingThousand"/>
      <w:lvlText w:val="%1、"/>
      <w:lvlJc w:val="left"/>
      <w:pPr>
        <w:ind w:left="774" w:hanging="480"/>
      </w:pPr>
      <w:rPr>
        <w:rFonts w:cs="細明體" w:hint="default"/>
        <w:u w:val="single"/>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num w:numId="1" w16cid:durableId="582954954">
    <w:abstractNumId w:val="2"/>
  </w:num>
  <w:num w:numId="2" w16cid:durableId="1559438213">
    <w:abstractNumId w:val="3"/>
  </w:num>
  <w:num w:numId="3" w16cid:durableId="1506633815">
    <w:abstractNumId w:val="0"/>
  </w:num>
  <w:num w:numId="4" w16cid:durableId="1638144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32"/>
    <w:rsid w:val="00013531"/>
    <w:rsid w:val="000163A0"/>
    <w:rsid w:val="000167A9"/>
    <w:rsid w:val="00031C2D"/>
    <w:rsid w:val="00032013"/>
    <w:rsid w:val="000361D1"/>
    <w:rsid w:val="00037ABC"/>
    <w:rsid w:val="00044838"/>
    <w:rsid w:val="000506E5"/>
    <w:rsid w:val="00054857"/>
    <w:rsid w:val="000702A8"/>
    <w:rsid w:val="00075C5F"/>
    <w:rsid w:val="0008286E"/>
    <w:rsid w:val="00086A8A"/>
    <w:rsid w:val="00087608"/>
    <w:rsid w:val="00090050"/>
    <w:rsid w:val="00092910"/>
    <w:rsid w:val="00093697"/>
    <w:rsid w:val="00093F2D"/>
    <w:rsid w:val="00096E16"/>
    <w:rsid w:val="000975A3"/>
    <w:rsid w:val="000A33EE"/>
    <w:rsid w:val="000A41C0"/>
    <w:rsid w:val="000C5D26"/>
    <w:rsid w:val="000D0E37"/>
    <w:rsid w:val="000D15DC"/>
    <w:rsid w:val="000D7F94"/>
    <w:rsid w:val="000E061D"/>
    <w:rsid w:val="000E312E"/>
    <w:rsid w:val="000E77D6"/>
    <w:rsid w:val="000E7A22"/>
    <w:rsid w:val="000F5C6E"/>
    <w:rsid w:val="000F5E62"/>
    <w:rsid w:val="00106D60"/>
    <w:rsid w:val="00113E94"/>
    <w:rsid w:val="00135E8B"/>
    <w:rsid w:val="001426AE"/>
    <w:rsid w:val="00145C2C"/>
    <w:rsid w:val="00146529"/>
    <w:rsid w:val="0016303D"/>
    <w:rsid w:val="001638C6"/>
    <w:rsid w:val="00166DA0"/>
    <w:rsid w:val="001824D8"/>
    <w:rsid w:val="00185356"/>
    <w:rsid w:val="001937DD"/>
    <w:rsid w:val="00195C79"/>
    <w:rsid w:val="001A3146"/>
    <w:rsid w:val="001B3D9B"/>
    <w:rsid w:val="001C4196"/>
    <w:rsid w:val="001C6EBC"/>
    <w:rsid w:val="001D0272"/>
    <w:rsid w:val="001D7515"/>
    <w:rsid w:val="001E4C09"/>
    <w:rsid w:val="001F0AEE"/>
    <w:rsid w:val="001F1803"/>
    <w:rsid w:val="001F4806"/>
    <w:rsid w:val="0020443C"/>
    <w:rsid w:val="0020681F"/>
    <w:rsid w:val="002114DA"/>
    <w:rsid w:val="002131C4"/>
    <w:rsid w:val="0021390F"/>
    <w:rsid w:val="00220946"/>
    <w:rsid w:val="00225981"/>
    <w:rsid w:val="00230790"/>
    <w:rsid w:val="0023456C"/>
    <w:rsid w:val="0023549C"/>
    <w:rsid w:val="00250C2B"/>
    <w:rsid w:val="00254E03"/>
    <w:rsid w:val="00256633"/>
    <w:rsid w:val="0026427B"/>
    <w:rsid w:val="00267681"/>
    <w:rsid w:val="0028546D"/>
    <w:rsid w:val="00291DFF"/>
    <w:rsid w:val="002977E8"/>
    <w:rsid w:val="002A7B9C"/>
    <w:rsid w:val="002A7C71"/>
    <w:rsid w:val="002B0EBF"/>
    <w:rsid w:val="002B2D1A"/>
    <w:rsid w:val="002B5C10"/>
    <w:rsid w:val="002C5F5C"/>
    <w:rsid w:val="002D0662"/>
    <w:rsid w:val="002D0A2D"/>
    <w:rsid w:val="002D0AE6"/>
    <w:rsid w:val="002D1A3B"/>
    <w:rsid w:val="002E3ADC"/>
    <w:rsid w:val="002F36B6"/>
    <w:rsid w:val="002F38B9"/>
    <w:rsid w:val="002F6F03"/>
    <w:rsid w:val="002F779F"/>
    <w:rsid w:val="003038A4"/>
    <w:rsid w:val="0030398A"/>
    <w:rsid w:val="0030776B"/>
    <w:rsid w:val="0031778C"/>
    <w:rsid w:val="003347F0"/>
    <w:rsid w:val="0034074A"/>
    <w:rsid w:val="00342B1E"/>
    <w:rsid w:val="0034366F"/>
    <w:rsid w:val="003443A0"/>
    <w:rsid w:val="00344D26"/>
    <w:rsid w:val="003453AA"/>
    <w:rsid w:val="00360A56"/>
    <w:rsid w:val="003628CC"/>
    <w:rsid w:val="00364DED"/>
    <w:rsid w:val="00364FA0"/>
    <w:rsid w:val="00366373"/>
    <w:rsid w:val="003668D2"/>
    <w:rsid w:val="00367149"/>
    <w:rsid w:val="00367B13"/>
    <w:rsid w:val="00370BEB"/>
    <w:rsid w:val="00374214"/>
    <w:rsid w:val="003860B9"/>
    <w:rsid w:val="00390697"/>
    <w:rsid w:val="00393175"/>
    <w:rsid w:val="003A025A"/>
    <w:rsid w:val="003A6889"/>
    <w:rsid w:val="003A754E"/>
    <w:rsid w:val="003B20D1"/>
    <w:rsid w:val="003B3F59"/>
    <w:rsid w:val="003B4C15"/>
    <w:rsid w:val="003B7E8E"/>
    <w:rsid w:val="003C57A5"/>
    <w:rsid w:val="003D0B72"/>
    <w:rsid w:val="003D14B9"/>
    <w:rsid w:val="003E1481"/>
    <w:rsid w:val="003F5995"/>
    <w:rsid w:val="003F688D"/>
    <w:rsid w:val="004036F9"/>
    <w:rsid w:val="0040644A"/>
    <w:rsid w:val="00412311"/>
    <w:rsid w:val="00413C11"/>
    <w:rsid w:val="004200BA"/>
    <w:rsid w:val="004247E5"/>
    <w:rsid w:val="00431B46"/>
    <w:rsid w:val="00446496"/>
    <w:rsid w:val="00446C9E"/>
    <w:rsid w:val="00473F96"/>
    <w:rsid w:val="004775CF"/>
    <w:rsid w:val="0047770F"/>
    <w:rsid w:val="004840A1"/>
    <w:rsid w:val="0048580E"/>
    <w:rsid w:val="00487431"/>
    <w:rsid w:val="00492469"/>
    <w:rsid w:val="00493087"/>
    <w:rsid w:val="00494506"/>
    <w:rsid w:val="00495347"/>
    <w:rsid w:val="004A5CEC"/>
    <w:rsid w:val="004A7E1D"/>
    <w:rsid w:val="004B60C1"/>
    <w:rsid w:val="004B7326"/>
    <w:rsid w:val="004C62B5"/>
    <w:rsid w:val="004D417B"/>
    <w:rsid w:val="004D66E9"/>
    <w:rsid w:val="004D6B97"/>
    <w:rsid w:val="004E10F5"/>
    <w:rsid w:val="004E1690"/>
    <w:rsid w:val="004E3882"/>
    <w:rsid w:val="004E43A9"/>
    <w:rsid w:val="004F238E"/>
    <w:rsid w:val="004F659E"/>
    <w:rsid w:val="005018DD"/>
    <w:rsid w:val="00501B18"/>
    <w:rsid w:val="005046A1"/>
    <w:rsid w:val="00505892"/>
    <w:rsid w:val="00506B52"/>
    <w:rsid w:val="0051027E"/>
    <w:rsid w:val="0051325C"/>
    <w:rsid w:val="00531227"/>
    <w:rsid w:val="00550071"/>
    <w:rsid w:val="00555792"/>
    <w:rsid w:val="005606F3"/>
    <w:rsid w:val="0056743A"/>
    <w:rsid w:val="00572F86"/>
    <w:rsid w:val="00576B9A"/>
    <w:rsid w:val="005937F1"/>
    <w:rsid w:val="00594DC5"/>
    <w:rsid w:val="00595602"/>
    <w:rsid w:val="005A467F"/>
    <w:rsid w:val="005B452F"/>
    <w:rsid w:val="005C0F3F"/>
    <w:rsid w:val="005C6B5D"/>
    <w:rsid w:val="005D7C00"/>
    <w:rsid w:val="005E17A0"/>
    <w:rsid w:val="005E724D"/>
    <w:rsid w:val="005E77C2"/>
    <w:rsid w:val="005F0C5D"/>
    <w:rsid w:val="005F3F48"/>
    <w:rsid w:val="005F6831"/>
    <w:rsid w:val="00623B55"/>
    <w:rsid w:val="00624973"/>
    <w:rsid w:val="00625639"/>
    <w:rsid w:val="00625F8B"/>
    <w:rsid w:val="006272B6"/>
    <w:rsid w:val="00632272"/>
    <w:rsid w:val="00635B02"/>
    <w:rsid w:val="00637801"/>
    <w:rsid w:val="006474C0"/>
    <w:rsid w:val="0065242B"/>
    <w:rsid w:val="0065300C"/>
    <w:rsid w:val="006544D9"/>
    <w:rsid w:val="00663E95"/>
    <w:rsid w:val="00665D53"/>
    <w:rsid w:val="00665E60"/>
    <w:rsid w:val="006678D9"/>
    <w:rsid w:val="00691A0A"/>
    <w:rsid w:val="00693C3B"/>
    <w:rsid w:val="00696ECC"/>
    <w:rsid w:val="0069711E"/>
    <w:rsid w:val="006A2D14"/>
    <w:rsid w:val="006B2A6A"/>
    <w:rsid w:val="006B3F02"/>
    <w:rsid w:val="006C0776"/>
    <w:rsid w:val="006C45E7"/>
    <w:rsid w:val="006C7C86"/>
    <w:rsid w:val="006D023D"/>
    <w:rsid w:val="006E19DB"/>
    <w:rsid w:val="006E6A3B"/>
    <w:rsid w:val="006F1535"/>
    <w:rsid w:val="006F1BB5"/>
    <w:rsid w:val="006F2D83"/>
    <w:rsid w:val="007114F3"/>
    <w:rsid w:val="00715CAE"/>
    <w:rsid w:val="00715D93"/>
    <w:rsid w:val="0072028B"/>
    <w:rsid w:val="00726441"/>
    <w:rsid w:val="00742F95"/>
    <w:rsid w:val="00747131"/>
    <w:rsid w:val="00751DE2"/>
    <w:rsid w:val="00752ACE"/>
    <w:rsid w:val="00760727"/>
    <w:rsid w:val="00763BE7"/>
    <w:rsid w:val="00773791"/>
    <w:rsid w:val="0078090A"/>
    <w:rsid w:val="00783D43"/>
    <w:rsid w:val="00794E0D"/>
    <w:rsid w:val="007B14C2"/>
    <w:rsid w:val="007B1B37"/>
    <w:rsid w:val="007C1A4E"/>
    <w:rsid w:val="007C4718"/>
    <w:rsid w:val="007D4F28"/>
    <w:rsid w:val="007E01A8"/>
    <w:rsid w:val="007E074F"/>
    <w:rsid w:val="007E17C5"/>
    <w:rsid w:val="007E3028"/>
    <w:rsid w:val="007E69C1"/>
    <w:rsid w:val="007E7770"/>
    <w:rsid w:val="007F3930"/>
    <w:rsid w:val="008078D6"/>
    <w:rsid w:val="00813693"/>
    <w:rsid w:val="00820AF7"/>
    <w:rsid w:val="00835023"/>
    <w:rsid w:val="00840697"/>
    <w:rsid w:val="0084466C"/>
    <w:rsid w:val="00850E4F"/>
    <w:rsid w:val="00851BFA"/>
    <w:rsid w:val="0085275F"/>
    <w:rsid w:val="008549CA"/>
    <w:rsid w:val="00857DB2"/>
    <w:rsid w:val="00860BE5"/>
    <w:rsid w:val="0088335C"/>
    <w:rsid w:val="00883C9D"/>
    <w:rsid w:val="00884886"/>
    <w:rsid w:val="008A1A7A"/>
    <w:rsid w:val="008A77A1"/>
    <w:rsid w:val="008B57E1"/>
    <w:rsid w:val="008D4195"/>
    <w:rsid w:val="008D55A0"/>
    <w:rsid w:val="008E09BA"/>
    <w:rsid w:val="008E4825"/>
    <w:rsid w:val="008E6A9F"/>
    <w:rsid w:val="00900C54"/>
    <w:rsid w:val="009029FB"/>
    <w:rsid w:val="00907706"/>
    <w:rsid w:val="009160F5"/>
    <w:rsid w:val="0093374F"/>
    <w:rsid w:val="00941F8A"/>
    <w:rsid w:val="00944665"/>
    <w:rsid w:val="00946785"/>
    <w:rsid w:val="00950DEC"/>
    <w:rsid w:val="0096242D"/>
    <w:rsid w:val="0096380D"/>
    <w:rsid w:val="00970A6E"/>
    <w:rsid w:val="00974F81"/>
    <w:rsid w:val="00984170"/>
    <w:rsid w:val="009859E5"/>
    <w:rsid w:val="00986FE0"/>
    <w:rsid w:val="00992F9F"/>
    <w:rsid w:val="00994EAE"/>
    <w:rsid w:val="009A29F8"/>
    <w:rsid w:val="009A2BA6"/>
    <w:rsid w:val="009A6888"/>
    <w:rsid w:val="009B22CC"/>
    <w:rsid w:val="009C43E0"/>
    <w:rsid w:val="009C4F9D"/>
    <w:rsid w:val="009D691B"/>
    <w:rsid w:val="009D6930"/>
    <w:rsid w:val="009E0955"/>
    <w:rsid w:val="009E38E3"/>
    <w:rsid w:val="009E677A"/>
    <w:rsid w:val="009E77A8"/>
    <w:rsid w:val="009E77D9"/>
    <w:rsid w:val="009F0F80"/>
    <w:rsid w:val="009F30BD"/>
    <w:rsid w:val="009F3D1A"/>
    <w:rsid w:val="00A02D44"/>
    <w:rsid w:val="00A0417A"/>
    <w:rsid w:val="00A2051B"/>
    <w:rsid w:val="00A308F8"/>
    <w:rsid w:val="00A370EE"/>
    <w:rsid w:val="00A423A4"/>
    <w:rsid w:val="00A4625C"/>
    <w:rsid w:val="00A530F8"/>
    <w:rsid w:val="00A62A34"/>
    <w:rsid w:val="00A64864"/>
    <w:rsid w:val="00A70127"/>
    <w:rsid w:val="00A725A4"/>
    <w:rsid w:val="00A730CC"/>
    <w:rsid w:val="00A7506A"/>
    <w:rsid w:val="00A87443"/>
    <w:rsid w:val="00A9067A"/>
    <w:rsid w:val="00A90DA8"/>
    <w:rsid w:val="00AA18D6"/>
    <w:rsid w:val="00AB6537"/>
    <w:rsid w:val="00AD4AFE"/>
    <w:rsid w:val="00AE4297"/>
    <w:rsid w:val="00AF7282"/>
    <w:rsid w:val="00B002AC"/>
    <w:rsid w:val="00B02ADE"/>
    <w:rsid w:val="00B07248"/>
    <w:rsid w:val="00B1243C"/>
    <w:rsid w:val="00B24A70"/>
    <w:rsid w:val="00B30168"/>
    <w:rsid w:val="00B3571B"/>
    <w:rsid w:val="00B40363"/>
    <w:rsid w:val="00B41687"/>
    <w:rsid w:val="00B46C4C"/>
    <w:rsid w:val="00B53C17"/>
    <w:rsid w:val="00B544BB"/>
    <w:rsid w:val="00B54C1C"/>
    <w:rsid w:val="00B64F28"/>
    <w:rsid w:val="00B75CB8"/>
    <w:rsid w:val="00B81DD9"/>
    <w:rsid w:val="00B84DE2"/>
    <w:rsid w:val="00B90C1A"/>
    <w:rsid w:val="00B91C2B"/>
    <w:rsid w:val="00B933BC"/>
    <w:rsid w:val="00BA0269"/>
    <w:rsid w:val="00BA1797"/>
    <w:rsid w:val="00BA6FEB"/>
    <w:rsid w:val="00BB50FA"/>
    <w:rsid w:val="00BB6CAC"/>
    <w:rsid w:val="00BC4C15"/>
    <w:rsid w:val="00BC77BA"/>
    <w:rsid w:val="00BF2D4C"/>
    <w:rsid w:val="00C04C58"/>
    <w:rsid w:val="00C0656C"/>
    <w:rsid w:val="00C07825"/>
    <w:rsid w:val="00C115B9"/>
    <w:rsid w:val="00C12B16"/>
    <w:rsid w:val="00C12DEF"/>
    <w:rsid w:val="00C17D4B"/>
    <w:rsid w:val="00C2028F"/>
    <w:rsid w:val="00C20FFB"/>
    <w:rsid w:val="00C223FF"/>
    <w:rsid w:val="00C31343"/>
    <w:rsid w:val="00C3182E"/>
    <w:rsid w:val="00C53FB8"/>
    <w:rsid w:val="00C57108"/>
    <w:rsid w:val="00C61699"/>
    <w:rsid w:val="00C634D1"/>
    <w:rsid w:val="00C63D34"/>
    <w:rsid w:val="00C71655"/>
    <w:rsid w:val="00C73C5F"/>
    <w:rsid w:val="00C76502"/>
    <w:rsid w:val="00C8427A"/>
    <w:rsid w:val="00C93086"/>
    <w:rsid w:val="00C940C8"/>
    <w:rsid w:val="00C94C1D"/>
    <w:rsid w:val="00CA32DC"/>
    <w:rsid w:val="00CB17F4"/>
    <w:rsid w:val="00CB3357"/>
    <w:rsid w:val="00CB52B0"/>
    <w:rsid w:val="00CC614A"/>
    <w:rsid w:val="00CD088C"/>
    <w:rsid w:val="00CD252C"/>
    <w:rsid w:val="00CF2398"/>
    <w:rsid w:val="00CF305E"/>
    <w:rsid w:val="00CF7D10"/>
    <w:rsid w:val="00D0016B"/>
    <w:rsid w:val="00D07E78"/>
    <w:rsid w:val="00D1016E"/>
    <w:rsid w:val="00D20D12"/>
    <w:rsid w:val="00D26FEA"/>
    <w:rsid w:val="00D53F4C"/>
    <w:rsid w:val="00D54AC5"/>
    <w:rsid w:val="00D62CC4"/>
    <w:rsid w:val="00D63C4F"/>
    <w:rsid w:val="00D65AA1"/>
    <w:rsid w:val="00D67450"/>
    <w:rsid w:val="00D84B0A"/>
    <w:rsid w:val="00D852A5"/>
    <w:rsid w:val="00D85A93"/>
    <w:rsid w:val="00D97EC8"/>
    <w:rsid w:val="00DC1F3C"/>
    <w:rsid w:val="00DC53FD"/>
    <w:rsid w:val="00DD2332"/>
    <w:rsid w:val="00DD40DC"/>
    <w:rsid w:val="00DE050E"/>
    <w:rsid w:val="00DE1896"/>
    <w:rsid w:val="00DE7FB8"/>
    <w:rsid w:val="00DF4F38"/>
    <w:rsid w:val="00E01EC1"/>
    <w:rsid w:val="00E04FD3"/>
    <w:rsid w:val="00E06594"/>
    <w:rsid w:val="00E13BB4"/>
    <w:rsid w:val="00E167F1"/>
    <w:rsid w:val="00E2508E"/>
    <w:rsid w:val="00E358AF"/>
    <w:rsid w:val="00E37688"/>
    <w:rsid w:val="00E40F43"/>
    <w:rsid w:val="00E45A79"/>
    <w:rsid w:val="00E5077C"/>
    <w:rsid w:val="00E557A0"/>
    <w:rsid w:val="00E56AAF"/>
    <w:rsid w:val="00E72D87"/>
    <w:rsid w:val="00E74C79"/>
    <w:rsid w:val="00E83CB3"/>
    <w:rsid w:val="00E86507"/>
    <w:rsid w:val="00E86D00"/>
    <w:rsid w:val="00E919D7"/>
    <w:rsid w:val="00E9762B"/>
    <w:rsid w:val="00EA2EC0"/>
    <w:rsid w:val="00EA3806"/>
    <w:rsid w:val="00EA580E"/>
    <w:rsid w:val="00EB1292"/>
    <w:rsid w:val="00EC22BB"/>
    <w:rsid w:val="00EC4691"/>
    <w:rsid w:val="00EC6B1F"/>
    <w:rsid w:val="00ED282F"/>
    <w:rsid w:val="00EF01BC"/>
    <w:rsid w:val="00F02485"/>
    <w:rsid w:val="00F03766"/>
    <w:rsid w:val="00F04636"/>
    <w:rsid w:val="00F064DE"/>
    <w:rsid w:val="00F3091B"/>
    <w:rsid w:val="00F338C4"/>
    <w:rsid w:val="00F603B6"/>
    <w:rsid w:val="00F62A4B"/>
    <w:rsid w:val="00F6588A"/>
    <w:rsid w:val="00F66F8D"/>
    <w:rsid w:val="00F94418"/>
    <w:rsid w:val="00FB334A"/>
    <w:rsid w:val="00FB57B4"/>
    <w:rsid w:val="00FD763F"/>
    <w:rsid w:val="00FE1F51"/>
    <w:rsid w:val="00FE2F9A"/>
    <w:rsid w:val="00FE4640"/>
    <w:rsid w:val="00FE6D43"/>
    <w:rsid w:val="00FF4A47"/>
    <w:rsid w:val="00FF7A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77F0A"/>
  <w14:defaultImageDpi w14:val="0"/>
  <w15:docId w15:val="{8B15F355-3233-48CF-9DCB-ADA22E2A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115B9"/>
    <w:pPr>
      <w:widowControl w:val="0"/>
      <w:autoSpaceDE w:val="0"/>
      <w:autoSpaceDN w:val="0"/>
      <w:adjustRightInd w:val="0"/>
    </w:pPr>
    <w:rPr>
      <w:rFonts w:ascii="標楷體" w:eastAsia="標楷體" w:hAnsi="Times New Roman" w:cs="標楷體"/>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2"/>
    </w:pPr>
    <w:rPr>
      <w:sz w:val="28"/>
      <w:szCs w:val="28"/>
    </w:rPr>
  </w:style>
  <w:style w:type="character" w:customStyle="1" w:styleId="a4">
    <w:name w:val="本文 字元"/>
    <w:basedOn w:val="a0"/>
    <w:link w:val="a3"/>
    <w:uiPriority w:val="99"/>
    <w:semiHidden/>
    <w:locked/>
    <w:rPr>
      <w:rFonts w:ascii="標楷體" w:eastAsia="標楷體" w:hAnsi="Times New Roman" w:cs="標楷體"/>
      <w:kern w:val="0"/>
      <w:sz w:val="22"/>
    </w:rPr>
  </w:style>
  <w:style w:type="paragraph" w:styleId="a5">
    <w:name w:val="List Paragraph"/>
    <w:basedOn w:val="a"/>
    <w:uiPriority w:val="1"/>
    <w:qFormat/>
    <w:rPr>
      <w:rFonts w:ascii="Times New Roman" w:eastAsiaTheme="minorEastAsia" w:cs="Times New Roman"/>
      <w:sz w:val="24"/>
      <w:szCs w:val="24"/>
    </w:rPr>
  </w:style>
  <w:style w:type="paragraph" w:customStyle="1" w:styleId="TableParagraph">
    <w:name w:val="Table Paragraph"/>
    <w:basedOn w:val="a"/>
    <w:uiPriority w:val="1"/>
    <w:qFormat/>
    <w:pPr>
      <w:ind w:left="798"/>
      <w:jc w:val="both"/>
    </w:pPr>
    <w:rPr>
      <w:sz w:val="24"/>
      <w:szCs w:val="24"/>
    </w:rPr>
  </w:style>
  <w:style w:type="paragraph" w:styleId="a6">
    <w:name w:val="header"/>
    <w:basedOn w:val="a"/>
    <w:link w:val="a7"/>
    <w:uiPriority w:val="99"/>
    <w:unhideWhenUsed/>
    <w:rsid w:val="00DD2332"/>
    <w:pPr>
      <w:tabs>
        <w:tab w:val="center" w:pos="4153"/>
        <w:tab w:val="right" w:pos="8306"/>
      </w:tabs>
      <w:snapToGrid w:val="0"/>
    </w:pPr>
    <w:rPr>
      <w:sz w:val="20"/>
      <w:szCs w:val="20"/>
    </w:rPr>
  </w:style>
  <w:style w:type="character" w:customStyle="1" w:styleId="a7">
    <w:name w:val="頁首 字元"/>
    <w:basedOn w:val="a0"/>
    <w:link w:val="a6"/>
    <w:uiPriority w:val="99"/>
    <w:locked/>
    <w:rsid w:val="00DD2332"/>
    <w:rPr>
      <w:rFonts w:ascii="標楷體" w:eastAsia="標楷體" w:hAnsi="Times New Roman" w:cs="標楷體"/>
      <w:kern w:val="0"/>
      <w:sz w:val="20"/>
      <w:szCs w:val="20"/>
    </w:rPr>
  </w:style>
  <w:style w:type="paragraph" w:styleId="a8">
    <w:name w:val="footer"/>
    <w:basedOn w:val="a"/>
    <w:link w:val="a9"/>
    <w:uiPriority w:val="99"/>
    <w:unhideWhenUsed/>
    <w:rsid w:val="00DD2332"/>
    <w:pPr>
      <w:tabs>
        <w:tab w:val="center" w:pos="4153"/>
        <w:tab w:val="right" w:pos="8306"/>
      </w:tabs>
      <w:snapToGrid w:val="0"/>
    </w:pPr>
    <w:rPr>
      <w:sz w:val="20"/>
      <w:szCs w:val="20"/>
    </w:rPr>
  </w:style>
  <w:style w:type="character" w:customStyle="1" w:styleId="a9">
    <w:name w:val="頁尾 字元"/>
    <w:basedOn w:val="a0"/>
    <w:link w:val="a8"/>
    <w:uiPriority w:val="99"/>
    <w:locked/>
    <w:rsid w:val="00DD2332"/>
    <w:rPr>
      <w:rFonts w:ascii="標楷體" w:eastAsia="標楷體" w:hAnsi="Times New Roman" w:cs="標楷體"/>
      <w:kern w:val="0"/>
      <w:sz w:val="20"/>
      <w:szCs w:val="20"/>
    </w:rPr>
  </w:style>
  <w:style w:type="paragraph" w:customStyle="1" w:styleId="Default">
    <w:name w:val="Default"/>
    <w:rsid w:val="00495347"/>
    <w:pPr>
      <w:widowControl w:val="0"/>
      <w:autoSpaceDE w:val="0"/>
      <w:autoSpaceDN w:val="0"/>
      <w:adjustRightInd w:val="0"/>
    </w:pPr>
    <w:rPr>
      <w:rFonts w:ascii="標楷體" w:eastAsia="標楷體" w:cs="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翁婉珊;高俊璿</dc:creator>
  <cp:lastModifiedBy>吳伋</cp:lastModifiedBy>
  <cp:revision>2</cp:revision>
  <dcterms:created xsi:type="dcterms:W3CDTF">2024-05-07T06:57:00Z</dcterms:created>
  <dcterms:modified xsi:type="dcterms:W3CDTF">2024-05-07T06:57:00Z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